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84" w:rsidRDefault="00544AE9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BA5584" w:rsidRDefault="00544AE9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深圳市龙岗区“深龙英才”分类目录</w:t>
      </w:r>
    </w:p>
    <w:p w:rsidR="00BA5584" w:rsidRDefault="00544AE9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（人力资源局</w:t>
      </w:r>
      <w:r w:rsidR="009441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配置科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受理部分）</w:t>
      </w:r>
    </w:p>
    <w:p w:rsidR="00BA5584" w:rsidRPr="00DA4C5A" w:rsidRDefault="00544AE9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A4C5A">
        <w:rPr>
          <w:rFonts w:ascii="仿宋" w:eastAsia="仿宋" w:hAnsi="仿宋" w:cs="仿宋_GB2312" w:hint="eastAsia"/>
          <w:sz w:val="32"/>
          <w:szCs w:val="32"/>
        </w:rPr>
        <w:t>在我区工作的以下人才（不包含柔性引进人才）经区人力资源局受理审核后，可认定为“深龙英才”。</w:t>
      </w:r>
      <w:r w:rsidRPr="00DA4C5A">
        <w:rPr>
          <w:rFonts w:ascii="仿宋" w:eastAsia="仿宋" w:hAnsi="仿宋" w:hint="eastAsia"/>
          <w:sz w:val="32"/>
          <w:szCs w:val="32"/>
        </w:rPr>
        <w:t>深龙英才A、B、C类年龄分别不超过65、60、50周岁，D、E类年龄不超过45周岁，深圳市杰出人才不受年龄限制。</w:t>
      </w:r>
      <w:bookmarkStart w:id="0" w:name="_GoBack"/>
      <w:bookmarkEnd w:id="0"/>
      <w:r w:rsidRPr="00DA4C5A">
        <w:rPr>
          <w:rFonts w:ascii="仿宋" w:eastAsia="仿宋" w:hAnsi="仿宋" w:cs="仿宋_GB2312" w:hint="eastAsia"/>
          <w:sz w:val="32"/>
          <w:szCs w:val="32"/>
        </w:rPr>
        <w:t>具体类别如下：</w:t>
      </w:r>
    </w:p>
    <w:p w:rsidR="00BA5584" w:rsidRPr="00DA4C5A" w:rsidRDefault="00544AE9" w:rsidP="00DA4C5A">
      <w:pPr>
        <w:numPr>
          <w:ilvl w:val="0"/>
          <w:numId w:val="1"/>
        </w:numPr>
        <w:ind w:firstLineChars="200" w:firstLine="643"/>
        <w:jc w:val="left"/>
        <w:rPr>
          <w:rFonts w:ascii="仿宋" w:eastAsia="仿宋" w:hAnsi="仿宋" w:cs="黑体"/>
          <w:b/>
          <w:sz w:val="32"/>
          <w:szCs w:val="32"/>
        </w:rPr>
      </w:pPr>
      <w:r w:rsidRPr="00DA4C5A">
        <w:rPr>
          <w:rFonts w:ascii="仿宋" w:eastAsia="仿宋" w:hAnsi="仿宋" w:cs="黑体" w:hint="eastAsia"/>
          <w:b/>
          <w:sz w:val="32"/>
          <w:szCs w:val="32"/>
        </w:rPr>
        <w:t>深龙英才</w:t>
      </w:r>
      <w:r w:rsidRPr="00DA4C5A">
        <w:rPr>
          <w:rFonts w:ascii="仿宋" w:eastAsia="仿宋" w:hAnsi="仿宋" w:cs="Arial"/>
          <w:b/>
          <w:sz w:val="32"/>
          <w:szCs w:val="32"/>
        </w:rPr>
        <w:t>A</w:t>
      </w:r>
      <w:r w:rsidRPr="00DA4C5A">
        <w:rPr>
          <w:rFonts w:ascii="仿宋" w:eastAsia="仿宋" w:hAnsi="仿宋" w:cs="黑体" w:hint="eastAsia"/>
          <w:b/>
          <w:sz w:val="32"/>
          <w:szCs w:val="32"/>
        </w:rPr>
        <w:t>类</w:t>
      </w:r>
    </w:p>
    <w:tbl>
      <w:tblPr>
        <w:tblW w:w="8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"/>
        <w:gridCol w:w="4247"/>
        <w:gridCol w:w="1343"/>
        <w:gridCol w:w="2528"/>
      </w:tblGrid>
      <w:tr w:rsidR="00BA5584" w:rsidRPr="00DA4C5A">
        <w:trPr>
          <w:trHeight w:val="570"/>
        </w:trPr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认定标准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受理单位（部门）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符合《深圳市龙岗区“深龙英才”分类目录》的条款及内容</w:t>
            </w:r>
          </w:p>
        </w:tc>
      </w:tr>
      <w:tr w:rsidR="00BA5584" w:rsidRPr="00DA4C5A">
        <w:trPr>
          <w:trHeight w:val="54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诺贝尔奖获得者、国家最高科学技术奖获得者、中国科学院院士、中国工程院院士、其它经深圳市认定的杰出人才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A类第1条</w:t>
            </w:r>
          </w:p>
        </w:tc>
      </w:tr>
      <w:tr w:rsidR="00BA5584" w:rsidRPr="00DA4C5A">
        <w:trPr>
          <w:trHeight w:val="85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国家“千人计划”顶尖人才与创新团队项目、创新人才长期项目、创业人才长期项目、高层次外国专家项目的入选者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A类第2条</w:t>
            </w:r>
          </w:p>
        </w:tc>
      </w:tr>
      <w:tr w:rsidR="00BA5584" w:rsidRPr="00DA4C5A">
        <w:trPr>
          <w:trHeight w:val="57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国家“特支计划”的杰出人才、领军人才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A类第3条</w:t>
            </w:r>
          </w:p>
        </w:tc>
      </w:tr>
      <w:tr w:rsidR="00BA5584" w:rsidRPr="00DA4C5A">
        <w:trPr>
          <w:trHeight w:val="28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广东省“特支计划”的杰出人才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A类第4条</w:t>
            </w:r>
          </w:p>
        </w:tc>
      </w:tr>
      <w:tr w:rsidR="00BA5584" w:rsidRPr="00DA4C5A">
        <w:trPr>
          <w:trHeight w:val="28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深圳市国家级领军人才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A类第5条</w:t>
            </w:r>
          </w:p>
        </w:tc>
      </w:tr>
      <w:tr w:rsidR="00BA5584" w:rsidRPr="00DA4C5A">
        <w:trPr>
          <w:trHeight w:val="28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深圳市“孔雀计划”A类人才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A类第6条</w:t>
            </w:r>
          </w:p>
        </w:tc>
      </w:tr>
    </w:tbl>
    <w:p w:rsidR="00BA5584" w:rsidRPr="00DA4C5A" w:rsidRDefault="00BA5584" w:rsidP="008F2756">
      <w:pPr>
        <w:ind w:leftChars="200" w:left="420"/>
        <w:jc w:val="left"/>
        <w:rPr>
          <w:rFonts w:ascii="仿宋" w:eastAsia="仿宋" w:hAnsi="仿宋" w:cs="仿宋_GB2312"/>
          <w:sz w:val="32"/>
          <w:szCs w:val="32"/>
        </w:rPr>
      </w:pPr>
    </w:p>
    <w:p w:rsidR="00BA5584" w:rsidRPr="00DA4C5A" w:rsidRDefault="00544AE9" w:rsidP="00DA4C5A">
      <w:pPr>
        <w:numPr>
          <w:ilvl w:val="0"/>
          <w:numId w:val="1"/>
        </w:numPr>
        <w:ind w:firstLineChars="200" w:firstLine="643"/>
        <w:jc w:val="left"/>
        <w:rPr>
          <w:rFonts w:ascii="仿宋" w:eastAsia="仿宋" w:hAnsi="仿宋" w:cs="仿宋_GB2312"/>
          <w:b/>
          <w:sz w:val="32"/>
          <w:szCs w:val="32"/>
        </w:rPr>
      </w:pPr>
      <w:r w:rsidRPr="00DA4C5A">
        <w:rPr>
          <w:rFonts w:ascii="仿宋" w:eastAsia="仿宋" w:hAnsi="仿宋" w:cs="黑体" w:hint="eastAsia"/>
          <w:b/>
          <w:sz w:val="32"/>
          <w:szCs w:val="32"/>
        </w:rPr>
        <w:t>深龙英才</w:t>
      </w:r>
      <w:r w:rsidRPr="00DA4C5A">
        <w:rPr>
          <w:rFonts w:ascii="仿宋" w:eastAsia="仿宋" w:hAnsi="仿宋" w:cs="Arial"/>
          <w:b/>
          <w:sz w:val="32"/>
          <w:szCs w:val="32"/>
        </w:rPr>
        <w:t>Ｂ</w:t>
      </w:r>
      <w:r w:rsidRPr="00DA4C5A">
        <w:rPr>
          <w:rFonts w:ascii="仿宋" w:eastAsia="仿宋" w:hAnsi="仿宋" w:cs="黑体" w:hint="eastAsia"/>
          <w:b/>
          <w:sz w:val="32"/>
          <w:szCs w:val="32"/>
        </w:rPr>
        <w:t>类</w:t>
      </w:r>
      <w:r w:rsidRPr="00DA4C5A">
        <w:rPr>
          <w:rFonts w:ascii="仿宋" w:eastAsia="仿宋" w:hAnsi="仿宋" w:cs="仿宋_GB2312" w:hint="eastAsia"/>
          <w:b/>
          <w:sz w:val="32"/>
          <w:szCs w:val="32"/>
        </w:rPr>
        <w:tab/>
      </w:r>
    </w:p>
    <w:tbl>
      <w:tblPr>
        <w:tblW w:w="8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4248"/>
        <w:gridCol w:w="1346"/>
        <w:gridCol w:w="2525"/>
      </w:tblGrid>
      <w:tr w:rsidR="00BA5584" w:rsidRPr="00DA4C5A">
        <w:trPr>
          <w:trHeight w:val="570"/>
        </w:trPr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认定标准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受理单位（部门）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符合《深圳市龙岗区“深龙英才”分类目录》的条款及内容</w:t>
            </w:r>
          </w:p>
        </w:tc>
      </w:tr>
      <w:tr w:rsidR="00BA5584" w:rsidRPr="00DA4C5A">
        <w:trPr>
          <w:trHeight w:val="57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国家“千人计划”创新人才短期项目、青年千人计划项目入选者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B类第1条</w:t>
            </w:r>
          </w:p>
        </w:tc>
      </w:tr>
      <w:tr w:rsidR="00BA5584" w:rsidRPr="00DA4C5A">
        <w:trPr>
          <w:trHeight w:val="285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经认定且在任期（有效期）内的以下人才：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A5584" w:rsidRPr="00DA4C5A">
        <w:trPr>
          <w:trHeight w:val="285"/>
        </w:trPr>
        <w:tc>
          <w:tcPr>
            <w:tcW w:w="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国家“特支计划”的青年拔尖人才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B类第2条第1款</w:t>
            </w:r>
          </w:p>
        </w:tc>
      </w:tr>
      <w:tr w:rsidR="00BA5584" w:rsidRPr="00DA4C5A">
        <w:trPr>
          <w:trHeight w:val="285"/>
        </w:trPr>
        <w:tc>
          <w:tcPr>
            <w:tcW w:w="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广东省领军人才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B类第2条第2款</w:t>
            </w:r>
          </w:p>
        </w:tc>
      </w:tr>
      <w:tr w:rsidR="00BA5584" w:rsidRPr="00DA4C5A">
        <w:trPr>
          <w:trHeight w:val="285"/>
        </w:trPr>
        <w:tc>
          <w:tcPr>
            <w:tcW w:w="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广东省“特支计划”的领军人才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B类第2条第3款</w:t>
            </w:r>
          </w:p>
        </w:tc>
      </w:tr>
      <w:tr w:rsidR="00BA5584" w:rsidRPr="00DA4C5A">
        <w:trPr>
          <w:trHeight w:val="285"/>
        </w:trPr>
        <w:tc>
          <w:tcPr>
            <w:tcW w:w="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深圳市地方级领军人才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B类第2条第4款</w:t>
            </w:r>
          </w:p>
        </w:tc>
      </w:tr>
      <w:tr w:rsidR="00BA5584" w:rsidRPr="00DA4C5A">
        <w:trPr>
          <w:trHeight w:val="285"/>
        </w:trPr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深圳市“孔雀计划”B类人才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B类第2条第5款</w:t>
            </w:r>
          </w:p>
        </w:tc>
      </w:tr>
    </w:tbl>
    <w:p w:rsidR="00BA5584" w:rsidRPr="00DA4C5A" w:rsidRDefault="00BA5584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BA5584" w:rsidRPr="00DA4C5A" w:rsidRDefault="00544AE9" w:rsidP="00DA4C5A">
      <w:pPr>
        <w:numPr>
          <w:ilvl w:val="0"/>
          <w:numId w:val="1"/>
        </w:numPr>
        <w:ind w:firstLineChars="200" w:firstLine="643"/>
        <w:jc w:val="left"/>
        <w:rPr>
          <w:rFonts w:ascii="仿宋" w:eastAsia="仿宋" w:hAnsi="仿宋" w:cs="仿宋_GB2312"/>
          <w:b/>
          <w:bCs/>
          <w:sz w:val="32"/>
          <w:szCs w:val="32"/>
        </w:rPr>
      </w:pPr>
      <w:r w:rsidRPr="00DA4C5A">
        <w:rPr>
          <w:rFonts w:ascii="仿宋" w:eastAsia="仿宋" w:hAnsi="仿宋" w:cs="仿宋_GB2312" w:hint="eastAsia"/>
          <w:b/>
          <w:bCs/>
          <w:sz w:val="32"/>
          <w:szCs w:val="32"/>
        </w:rPr>
        <w:lastRenderedPageBreak/>
        <w:t>深龙英才</w:t>
      </w:r>
      <w:r w:rsidRPr="00DA4C5A">
        <w:rPr>
          <w:rFonts w:ascii="仿宋" w:eastAsia="仿宋" w:hAnsi="仿宋" w:cs="Arial"/>
          <w:b/>
          <w:bCs/>
          <w:sz w:val="32"/>
          <w:szCs w:val="32"/>
        </w:rPr>
        <w:t>Ｃ</w:t>
      </w:r>
      <w:r w:rsidRPr="00DA4C5A">
        <w:rPr>
          <w:rFonts w:ascii="仿宋" w:eastAsia="仿宋" w:hAnsi="仿宋" w:cs="仿宋_GB2312" w:hint="eastAsia"/>
          <w:b/>
          <w:bCs/>
          <w:sz w:val="32"/>
          <w:szCs w:val="32"/>
        </w:rPr>
        <w:t>类</w:t>
      </w:r>
    </w:p>
    <w:tbl>
      <w:tblPr>
        <w:tblW w:w="8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"/>
        <w:gridCol w:w="4247"/>
        <w:gridCol w:w="1343"/>
        <w:gridCol w:w="2528"/>
      </w:tblGrid>
      <w:tr w:rsidR="00BA5584" w:rsidRPr="00DA4C5A">
        <w:trPr>
          <w:trHeight w:val="570"/>
        </w:trPr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认定标准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受理单位（部门）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符合《深圳市龙岗区“深龙英才”分类目录》的条款及内容</w:t>
            </w:r>
          </w:p>
        </w:tc>
      </w:tr>
      <w:tr w:rsidR="00BA5584" w:rsidRPr="00DA4C5A" w:rsidTr="00DA4C5A">
        <w:trPr>
          <w:trHeight w:val="1272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经认定且在任期（有效期）内的以下人才：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BA5584" w:rsidRPr="00DA4C5A" w:rsidTr="00DA4C5A">
        <w:trPr>
          <w:trHeight w:val="937"/>
        </w:trPr>
        <w:tc>
          <w:tcPr>
            <w:tcW w:w="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广东省“特支计划”的青年拔尖人才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C类第1条第1款</w:t>
            </w:r>
          </w:p>
        </w:tc>
      </w:tr>
      <w:tr w:rsidR="00BA5584" w:rsidRPr="00DA4C5A">
        <w:trPr>
          <w:trHeight w:val="770"/>
        </w:trPr>
        <w:tc>
          <w:tcPr>
            <w:tcW w:w="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深圳市后备级人才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C类第1条第2款</w:t>
            </w:r>
          </w:p>
        </w:tc>
      </w:tr>
      <w:tr w:rsidR="00BA5584" w:rsidRPr="00DA4C5A" w:rsidTr="00DA4C5A">
        <w:trPr>
          <w:trHeight w:val="697"/>
        </w:trPr>
        <w:tc>
          <w:tcPr>
            <w:tcW w:w="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深圳市“孔雀计划”C类人才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BA558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C类第1条第3款</w:t>
            </w:r>
          </w:p>
        </w:tc>
      </w:tr>
      <w:tr w:rsidR="00BA5584" w:rsidRPr="00DA4C5A">
        <w:trPr>
          <w:trHeight w:val="57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博士后工作站、流动站的带头人，且兼任博士后指导教师者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C类第9条</w:t>
            </w:r>
          </w:p>
        </w:tc>
      </w:tr>
    </w:tbl>
    <w:p w:rsidR="00BA5584" w:rsidRPr="00DA4C5A" w:rsidRDefault="00BA5584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BA5584" w:rsidRPr="00DA4C5A" w:rsidRDefault="00544AE9" w:rsidP="00DA4C5A">
      <w:pPr>
        <w:numPr>
          <w:ilvl w:val="0"/>
          <w:numId w:val="1"/>
        </w:numPr>
        <w:ind w:firstLineChars="200" w:firstLine="643"/>
        <w:jc w:val="left"/>
        <w:rPr>
          <w:rFonts w:ascii="仿宋" w:eastAsia="仿宋" w:hAnsi="仿宋" w:cs="仿宋_GB2312"/>
          <w:b/>
          <w:bCs/>
          <w:sz w:val="32"/>
          <w:szCs w:val="32"/>
        </w:rPr>
      </w:pPr>
      <w:r w:rsidRPr="00DA4C5A">
        <w:rPr>
          <w:rFonts w:ascii="仿宋" w:eastAsia="仿宋" w:hAnsi="仿宋" w:cs="仿宋_GB2312" w:hint="eastAsia"/>
          <w:b/>
          <w:bCs/>
          <w:sz w:val="32"/>
          <w:szCs w:val="32"/>
        </w:rPr>
        <w:t>深龙英才</w:t>
      </w:r>
      <w:r w:rsidRPr="00DA4C5A">
        <w:rPr>
          <w:rFonts w:ascii="仿宋" w:eastAsia="仿宋" w:hAnsi="仿宋" w:cs="Arial"/>
          <w:b/>
          <w:bCs/>
          <w:sz w:val="32"/>
          <w:szCs w:val="32"/>
        </w:rPr>
        <w:t>Ｄ</w:t>
      </w:r>
      <w:r w:rsidRPr="00DA4C5A">
        <w:rPr>
          <w:rFonts w:ascii="仿宋" w:eastAsia="仿宋" w:hAnsi="仿宋" w:cs="仿宋_GB2312" w:hint="eastAsia"/>
          <w:b/>
          <w:bCs/>
          <w:sz w:val="32"/>
          <w:szCs w:val="32"/>
        </w:rPr>
        <w:t>类</w:t>
      </w:r>
    </w:p>
    <w:tbl>
      <w:tblPr>
        <w:tblW w:w="8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"/>
        <w:gridCol w:w="4232"/>
        <w:gridCol w:w="1362"/>
        <w:gridCol w:w="2524"/>
      </w:tblGrid>
      <w:tr w:rsidR="00BA5584" w:rsidRPr="00DA4C5A">
        <w:trPr>
          <w:trHeight w:val="540"/>
        </w:trPr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认定标准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受理单位（部门）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符合《深圳市龙岗区“深龙英才”分类目录》的条款及内容</w:t>
            </w:r>
          </w:p>
        </w:tc>
      </w:tr>
      <w:tr w:rsidR="00BA5584" w:rsidRPr="00DA4C5A">
        <w:trPr>
          <w:trHeight w:val="285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从事行业为战略性新兴产业和未来产业领域：获深圳市创业资助的出国留学人员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人力资源配置科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D类第7条第2款</w:t>
            </w:r>
          </w:p>
        </w:tc>
      </w:tr>
      <w:tr w:rsidR="00BA5584" w:rsidRPr="00DA4C5A">
        <w:trPr>
          <w:trHeight w:val="57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由深圳市政府主办的海外创新创业</w:t>
            </w: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大赛分站赛前五名获得者（或中国深圳创新创业大赛国际赛分站赛前五名获得者）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人力资源</w:t>
            </w: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配置科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584" w:rsidRPr="00DA4C5A" w:rsidRDefault="00544AE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 w:rsidRPr="00DA4C5A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D类第8条</w:t>
            </w:r>
          </w:p>
        </w:tc>
      </w:tr>
    </w:tbl>
    <w:p w:rsidR="00BA5584" w:rsidRPr="00DA4C5A" w:rsidRDefault="00BA5584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BA5584" w:rsidRPr="00DA4C5A" w:rsidRDefault="00870BE3">
      <w:pPr>
        <w:jc w:val="left"/>
        <w:rPr>
          <w:rFonts w:ascii="仿宋" w:eastAsia="仿宋" w:hAnsi="仿宋"/>
          <w:sz w:val="36"/>
          <w:szCs w:val="36"/>
        </w:rPr>
      </w:pPr>
      <w:r w:rsidRPr="00DA4C5A">
        <w:rPr>
          <w:rFonts w:ascii="仿宋" w:eastAsia="仿宋" w:hAnsi="仿宋" w:cs="仿宋_GB2312" w:hint="eastAsia"/>
          <w:b/>
          <w:sz w:val="36"/>
          <w:szCs w:val="36"/>
        </w:rPr>
        <w:t>五、</w:t>
      </w:r>
      <w:r w:rsidRPr="00DA4C5A">
        <w:rPr>
          <w:rFonts w:ascii="仿宋" w:eastAsia="仿宋" w:hAnsi="仿宋" w:hint="eastAsia"/>
          <w:b/>
          <w:sz w:val="32"/>
          <w:szCs w:val="32"/>
        </w:rPr>
        <w:t>符合深圳市“孔雀计划”人才或深圳</w:t>
      </w:r>
      <w:r w:rsidR="00C653B5" w:rsidRPr="00DA4C5A">
        <w:rPr>
          <w:rFonts w:ascii="仿宋" w:eastAsia="仿宋" w:hAnsi="仿宋" w:hint="eastAsia"/>
          <w:b/>
          <w:sz w:val="32"/>
          <w:szCs w:val="32"/>
        </w:rPr>
        <w:t>市高层次专业人才认定标准，</w:t>
      </w:r>
      <w:r w:rsidR="00DA4C5A">
        <w:rPr>
          <w:rFonts w:ascii="仿宋" w:eastAsia="仿宋" w:hAnsi="仿宋" w:hint="eastAsia"/>
          <w:b/>
          <w:sz w:val="32"/>
          <w:szCs w:val="32"/>
        </w:rPr>
        <w:t>仅因</w:t>
      </w:r>
      <w:r w:rsidR="00C653B5" w:rsidRPr="00DA4C5A">
        <w:rPr>
          <w:rFonts w:ascii="仿宋" w:eastAsia="仿宋" w:hAnsi="仿宋" w:hint="eastAsia"/>
          <w:b/>
          <w:sz w:val="32"/>
          <w:szCs w:val="32"/>
        </w:rPr>
        <w:t>超过深圳市规定年龄无法认定</w:t>
      </w:r>
      <w:r w:rsidR="00DA4C5A" w:rsidRPr="00DA4C5A">
        <w:rPr>
          <w:rFonts w:ascii="仿宋" w:eastAsia="仿宋" w:hAnsi="仿宋" w:hint="eastAsia"/>
          <w:b/>
          <w:sz w:val="32"/>
          <w:szCs w:val="32"/>
        </w:rPr>
        <w:t>但未超过深龙英才年龄限制</w:t>
      </w:r>
      <w:r w:rsidR="00C653B5" w:rsidRPr="00DA4C5A">
        <w:rPr>
          <w:rFonts w:ascii="仿宋" w:eastAsia="仿宋" w:hAnsi="仿宋" w:hint="eastAsia"/>
          <w:b/>
          <w:sz w:val="32"/>
          <w:szCs w:val="32"/>
        </w:rPr>
        <w:t>的人员，符合以下对应标准的，由我局认定：</w:t>
      </w:r>
    </w:p>
    <w:tbl>
      <w:tblPr>
        <w:tblStyle w:val="a5"/>
        <w:tblW w:w="8755" w:type="dxa"/>
        <w:tblLook w:val="04A0"/>
      </w:tblPr>
      <w:tblGrid>
        <w:gridCol w:w="536"/>
        <w:gridCol w:w="3967"/>
        <w:gridCol w:w="4252"/>
      </w:tblGrid>
      <w:tr w:rsidR="00870BE3" w:rsidTr="00E55BC0">
        <w:trPr>
          <w:trHeight w:val="950"/>
        </w:trPr>
        <w:tc>
          <w:tcPr>
            <w:tcW w:w="536" w:type="dxa"/>
          </w:tcPr>
          <w:p w:rsidR="00870BE3" w:rsidRPr="005658A6" w:rsidRDefault="00C653B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967" w:type="dxa"/>
            <w:vAlign w:val="center"/>
          </w:tcPr>
          <w:p w:rsidR="00870BE3" w:rsidRPr="005658A6" w:rsidRDefault="005658A6" w:rsidP="002A4C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658A6">
              <w:rPr>
                <w:rFonts w:ascii="仿宋" w:eastAsia="仿宋" w:hAnsi="仿宋" w:hint="eastAsia"/>
                <w:sz w:val="32"/>
                <w:szCs w:val="32"/>
              </w:rPr>
              <w:t>高层次专业人才认定标准</w:t>
            </w:r>
          </w:p>
        </w:tc>
        <w:tc>
          <w:tcPr>
            <w:tcW w:w="4252" w:type="dxa"/>
            <w:vAlign w:val="center"/>
          </w:tcPr>
          <w:p w:rsidR="00870BE3" w:rsidRDefault="005658A6" w:rsidP="002A4C1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A5C26">
              <w:rPr>
                <w:rFonts w:ascii="仿宋" w:eastAsia="仿宋" w:hAnsi="仿宋" w:hint="eastAsia"/>
                <w:sz w:val="32"/>
                <w:szCs w:val="32"/>
              </w:rPr>
              <w:t>孔雀计划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人才认定标准</w:t>
            </w:r>
          </w:p>
        </w:tc>
      </w:tr>
      <w:tr w:rsidR="00870BE3" w:rsidTr="00E55BC0">
        <w:tc>
          <w:tcPr>
            <w:tcW w:w="536" w:type="dxa"/>
          </w:tcPr>
          <w:p w:rsidR="00870BE3" w:rsidRPr="00C653B5" w:rsidRDefault="00C653B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53B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967" w:type="dxa"/>
          </w:tcPr>
          <w:p w:rsidR="00870BE3" w:rsidRPr="00DA4C5A" w:rsidRDefault="007E3F44">
            <w:pPr>
              <w:jc w:val="left"/>
              <w:rPr>
                <w:rFonts w:ascii="仿宋" w:eastAsia="仿宋" w:hAnsi="仿宋"/>
                <w:sz w:val="24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国家级：新世纪百千万人才工程国家级人选；国家有突出贡献的中青年专家</w:t>
            </w:r>
          </w:p>
        </w:tc>
        <w:tc>
          <w:tcPr>
            <w:tcW w:w="4252" w:type="dxa"/>
          </w:tcPr>
          <w:p w:rsidR="00870BE3" w:rsidRPr="00DA4C5A" w:rsidRDefault="002A4C16">
            <w:pPr>
              <w:jc w:val="left"/>
              <w:rPr>
                <w:rFonts w:ascii="仿宋" w:eastAsia="仿宋" w:hAnsi="仿宋" w:cs="仿宋_GB2312"/>
                <w:sz w:val="24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A类：</w:t>
            </w:r>
            <w:r w:rsidR="00C653B5"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近5年，中组部“海外高层次人才引进计划（千人计划）”顶尖人才与创新团队项目中的顶尖人才和团队带头人，以及创新人才长期项目、创业人才长期项目、文化艺术人才长期项目、高层次外国专家项目的入选者。</w:t>
            </w:r>
          </w:p>
        </w:tc>
      </w:tr>
      <w:tr w:rsidR="002A4C16" w:rsidTr="00E55BC0">
        <w:trPr>
          <w:trHeight w:val="1872"/>
        </w:trPr>
        <w:tc>
          <w:tcPr>
            <w:tcW w:w="536" w:type="dxa"/>
          </w:tcPr>
          <w:p w:rsidR="002A4C16" w:rsidRPr="00C653B5" w:rsidRDefault="002A4C16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53B5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967" w:type="dxa"/>
          </w:tcPr>
          <w:p w:rsidR="002A4C16" w:rsidRPr="00DA4C5A" w:rsidRDefault="00C13BA7">
            <w:pPr>
              <w:jc w:val="left"/>
              <w:rPr>
                <w:rFonts w:ascii="仿宋" w:eastAsia="仿宋" w:hAnsi="仿宋"/>
                <w:sz w:val="24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地方级：享受国务院特殊津贴人员；享受深圳市政府特殊津贴人员</w:t>
            </w:r>
          </w:p>
        </w:tc>
        <w:tc>
          <w:tcPr>
            <w:tcW w:w="4252" w:type="dxa"/>
          </w:tcPr>
          <w:p w:rsidR="002A4C16" w:rsidRPr="00DA4C5A" w:rsidRDefault="002A4C16">
            <w:pPr>
              <w:jc w:val="left"/>
              <w:rPr>
                <w:rFonts w:ascii="仿宋" w:eastAsia="仿宋" w:hAnsi="仿宋" w:cs="仿宋_GB2312"/>
                <w:sz w:val="24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B类：近5年，广东省“珠江人才计划”领军人才入选者。</w:t>
            </w:r>
          </w:p>
          <w:p w:rsidR="002A4C16" w:rsidRPr="00DA4C5A" w:rsidRDefault="002A4C16" w:rsidP="00DA4C5A">
            <w:pPr>
              <w:ind w:firstLineChars="250" w:firstLine="600"/>
              <w:jc w:val="left"/>
              <w:rPr>
                <w:rFonts w:ascii="仿宋" w:eastAsia="仿宋" w:hAnsi="仿宋" w:cs="仿宋_GB2312"/>
                <w:sz w:val="24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近5年，中组部“海外高层次人才引进计划（千人计划）”创新人才短期项目、外专千人短期项目、文化艺术人才短期项目、青年千人计划项目入选者。</w:t>
            </w:r>
          </w:p>
        </w:tc>
      </w:tr>
      <w:tr w:rsidR="002A4C16" w:rsidTr="00E55BC0">
        <w:trPr>
          <w:trHeight w:val="1872"/>
        </w:trPr>
        <w:tc>
          <w:tcPr>
            <w:tcW w:w="536" w:type="dxa"/>
          </w:tcPr>
          <w:p w:rsidR="002A4C16" w:rsidRPr="00C653B5" w:rsidRDefault="002A4C16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967" w:type="dxa"/>
          </w:tcPr>
          <w:p w:rsidR="002A4C16" w:rsidRPr="00DA4C5A" w:rsidRDefault="002A4C16" w:rsidP="007E3F44">
            <w:pPr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后备级：</w:t>
            </w:r>
            <w:r w:rsidR="00C13BA7"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近5年，获得中国博士后科学基金资助的出站留（来）深博士后；博士后出站留（来）深从事科研工作满3年者；</w:t>
            </w:r>
          </w:p>
        </w:tc>
        <w:tc>
          <w:tcPr>
            <w:tcW w:w="4252" w:type="dxa"/>
          </w:tcPr>
          <w:p w:rsidR="002A4C16" w:rsidRPr="00DA4C5A" w:rsidRDefault="002A4C16">
            <w:pPr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C类：近5年，入选中组部“海外高层次人才引进计划（千人计划）” 顶尖人才与创新团队项目的团队核心成员（限前3名）。</w:t>
            </w:r>
          </w:p>
          <w:p w:rsidR="002A4C16" w:rsidRPr="00DA4C5A" w:rsidRDefault="002A4C16" w:rsidP="00DA4C5A">
            <w:pPr>
              <w:ind w:firstLineChars="250" w:firstLine="600"/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</w:pPr>
            <w:r w:rsidRPr="00DA4C5A"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近5年，在境外世界知名大学（见说明5）获得博士学位，来深圳工作且与用人单位签订3年以上劳动合同的人员。</w:t>
            </w:r>
          </w:p>
        </w:tc>
      </w:tr>
    </w:tbl>
    <w:p w:rsidR="00870BE3" w:rsidRDefault="00870BE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870BE3" w:rsidSect="00BA55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77E" w:rsidRDefault="00DF577E" w:rsidP="00BA5584">
      <w:r>
        <w:separator/>
      </w:r>
    </w:p>
  </w:endnote>
  <w:endnote w:type="continuationSeparator" w:id="0">
    <w:p w:rsidR="00DF577E" w:rsidRDefault="00DF577E" w:rsidP="00BA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84" w:rsidRDefault="00544AE9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4B1FB2"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 w:rsidR="004B1FB2">
      <w:rPr>
        <w:rFonts w:hint="eastAsia"/>
      </w:rPr>
      <w:fldChar w:fldCharType="separate"/>
    </w:r>
    <w:r w:rsidR="009441D5">
      <w:rPr>
        <w:noProof/>
      </w:rPr>
      <w:t>1</w:t>
    </w:r>
    <w:r w:rsidR="004B1FB2"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MERGEFORMAT ">
      <w:r w:rsidR="009441D5">
        <w:rPr>
          <w:noProof/>
        </w:rPr>
        <w:t>4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77E" w:rsidRDefault="00DF577E" w:rsidP="00BA5584">
      <w:r>
        <w:separator/>
      </w:r>
    </w:p>
  </w:footnote>
  <w:footnote w:type="continuationSeparator" w:id="0">
    <w:p w:rsidR="00DF577E" w:rsidRDefault="00DF577E" w:rsidP="00BA5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3228"/>
    <w:multiLevelType w:val="singleLevel"/>
    <w:tmpl w:val="595F322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F771CA"/>
    <w:rsid w:val="002A4C16"/>
    <w:rsid w:val="00303A5A"/>
    <w:rsid w:val="004B1FB2"/>
    <w:rsid w:val="00544AE9"/>
    <w:rsid w:val="005658A6"/>
    <w:rsid w:val="005D54FE"/>
    <w:rsid w:val="00600E77"/>
    <w:rsid w:val="007E3F44"/>
    <w:rsid w:val="00870BE3"/>
    <w:rsid w:val="008F2756"/>
    <w:rsid w:val="009441D5"/>
    <w:rsid w:val="00AD7BFF"/>
    <w:rsid w:val="00BA5584"/>
    <w:rsid w:val="00C13BA7"/>
    <w:rsid w:val="00C5167B"/>
    <w:rsid w:val="00C653B5"/>
    <w:rsid w:val="00DA4C5A"/>
    <w:rsid w:val="00DF577E"/>
    <w:rsid w:val="00E55BC0"/>
    <w:rsid w:val="00F5298D"/>
    <w:rsid w:val="0559785F"/>
    <w:rsid w:val="0B70775A"/>
    <w:rsid w:val="0FC11AB6"/>
    <w:rsid w:val="114E2CB0"/>
    <w:rsid w:val="13727458"/>
    <w:rsid w:val="198616AC"/>
    <w:rsid w:val="1CBA3C29"/>
    <w:rsid w:val="224E744D"/>
    <w:rsid w:val="26F771CA"/>
    <w:rsid w:val="33EE1277"/>
    <w:rsid w:val="34752E06"/>
    <w:rsid w:val="36CD668F"/>
    <w:rsid w:val="3A3952F0"/>
    <w:rsid w:val="3D241DB6"/>
    <w:rsid w:val="3E34339C"/>
    <w:rsid w:val="409A603D"/>
    <w:rsid w:val="41791C58"/>
    <w:rsid w:val="4E4C572F"/>
    <w:rsid w:val="58332539"/>
    <w:rsid w:val="5D3B6A5E"/>
    <w:rsid w:val="5F835F67"/>
    <w:rsid w:val="620675B5"/>
    <w:rsid w:val="71F96717"/>
    <w:rsid w:val="749D26AB"/>
    <w:rsid w:val="7780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A55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A55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870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2017-07-10T08:27:00Z</cp:lastPrinted>
  <dcterms:created xsi:type="dcterms:W3CDTF">2017-07-07T06:45:00Z</dcterms:created>
  <dcterms:modified xsi:type="dcterms:W3CDTF">2018-01-31T03:37:00Z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