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rPr>
          <w:rFonts w:ascii="黑体" w:hAnsi="黑体" w:eastAsia="黑体"/>
          <w:color w:val="000000"/>
          <w:sz w:val="32"/>
          <w:szCs w:val="32"/>
        </w:rPr>
      </w:pPr>
      <w:r>
        <w:rPr>
          <w:rFonts w:hint="eastAsia" w:ascii="黑体" w:hAnsi="黑体" w:eastAsia="黑体"/>
          <w:color w:val="000000"/>
          <w:sz w:val="32"/>
          <w:szCs w:val="32"/>
        </w:rPr>
        <w:t>附件2</w:t>
      </w:r>
    </w:p>
    <w:tbl>
      <w:tblPr>
        <w:tblStyle w:val="8"/>
        <w:tblW w:w="101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82"/>
        <w:gridCol w:w="1869"/>
        <w:gridCol w:w="1261"/>
        <w:gridCol w:w="120"/>
        <w:gridCol w:w="360"/>
        <w:gridCol w:w="285"/>
        <w:gridCol w:w="15"/>
        <w:gridCol w:w="555"/>
        <w:gridCol w:w="405"/>
        <w:gridCol w:w="510"/>
        <w:gridCol w:w="285"/>
        <w:gridCol w:w="45"/>
        <w:gridCol w:w="60"/>
        <w:gridCol w:w="60"/>
        <w:gridCol w:w="60"/>
        <w:gridCol w:w="74"/>
        <w:gridCol w:w="256"/>
        <w:gridCol w:w="570"/>
        <w:gridCol w:w="195"/>
        <w:gridCol w:w="30"/>
        <w:gridCol w:w="45"/>
        <w:gridCol w:w="30"/>
        <w:gridCol w:w="224"/>
        <w:gridCol w:w="151"/>
        <w:gridCol w:w="195"/>
        <w:gridCol w:w="600"/>
        <w:gridCol w:w="60"/>
        <w:gridCol w:w="1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5" w:hRule="atLeast"/>
        </w:trPr>
        <w:tc>
          <w:tcPr>
            <w:tcW w:w="10105" w:type="dxa"/>
            <w:gridSpan w:val="28"/>
            <w:tcBorders>
              <w:top w:val="nil"/>
              <w:left w:val="nil"/>
              <w:right w:val="nil"/>
            </w:tcBorders>
            <w:shd w:val="clear" w:color="auto" w:fill="auto"/>
            <w:vAlign w:val="center"/>
          </w:tcPr>
          <w:p>
            <w:pPr>
              <w:widowControl/>
              <w:spacing w:line="380" w:lineRule="exact"/>
              <w:jc w:val="center"/>
              <w:textAlignment w:val="center"/>
              <w:rPr>
                <w:rFonts w:ascii="仿宋" w:hAnsi="仿宋" w:eastAsia="方正小标宋_GBK" w:cs="仿宋"/>
                <w:bCs/>
                <w:color w:val="000000"/>
                <w:sz w:val="28"/>
                <w:szCs w:val="28"/>
              </w:rPr>
            </w:pPr>
            <w:r>
              <w:rPr>
                <w:rFonts w:hint="eastAsia" w:ascii="方正小标宋_GBK" w:hAnsi="方正小标宋_GBK" w:eastAsia="方正小标宋_GBK" w:cs="方正小标宋_GBK"/>
                <w:bCs/>
                <w:color w:val="000000"/>
                <w:kern w:val="0"/>
                <w:sz w:val="36"/>
                <w:szCs w:val="36"/>
              </w:rPr>
              <w:t>广东省知识产权示范企业申报表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92" w:hRule="atLeast"/>
        </w:trPr>
        <w:tc>
          <w:tcPr>
            <w:tcW w:w="582" w:type="dxa"/>
            <w:vMerge w:val="restart"/>
            <w:tcBorders>
              <w:tl2br w:val="nil"/>
              <w:tr2bl w:val="nil"/>
            </w:tcBorders>
            <w:shd w:val="clear" w:color="auto" w:fill="auto"/>
            <w:vAlign w:val="center"/>
          </w:tcPr>
          <w:p>
            <w:pPr>
              <w:widowControl/>
              <w:spacing w:line="380" w:lineRule="exact"/>
              <w:jc w:val="center"/>
              <w:textAlignment w:val="center"/>
              <w:rPr>
                <w:rFonts w:ascii="黑体" w:hAnsi="黑体" w:eastAsia="黑体" w:cs="黑体"/>
                <w:bCs/>
                <w:color w:val="000000"/>
                <w:kern w:val="0"/>
                <w:sz w:val="28"/>
                <w:szCs w:val="28"/>
              </w:rPr>
            </w:pPr>
            <w:r>
              <w:rPr>
                <w:rFonts w:hint="eastAsia" w:ascii="黑体" w:hAnsi="黑体" w:eastAsia="黑体" w:cs="黑体"/>
                <w:bCs/>
                <w:color w:val="000000"/>
                <w:kern w:val="0"/>
                <w:sz w:val="28"/>
                <w:szCs w:val="28"/>
              </w:rPr>
              <w:t>基</w:t>
            </w:r>
          </w:p>
          <w:p>
            <w:pPr>
              <w:widowControl/>
              <w:spacing w:line="380" w:lineRule="exact"/>
              <w:jc w:val="center"/>
              <w:textAlignment w:val="center"/>
              <w:rPr>
                <w:rFonts w:ascii="黑体" w:hAnsi="黑体" w:eastAsia="黑体" w:cs="黑体"/>
                <w:bCs/>
                <w:color w:val="000000"/>
                <w:kern w:val="0"/>
                <w:sz w:val="28"/>
                <w:szCs w:val="28"/>
              </w:rPr>
            </w:pP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本</w:t>
            </w:r>
          </w:p>
          <w:p>
            <w:pPr>
              <w:widowControl/>
              <w:spacing w:line="380" w:lineRule="exact"/>
              <w:jc w:val="center"/>
              <w:textAlignment w:val="center"/>
              <w:rPr>
                <w:rFonts w:ascii="黑体" w:hAnsi="黑体" w:eastAsia="黑体" w:cs="黑体"/>
                <w:bCs/>
                <w:color w:val="000000"/>
                <w:kern w:val="0"/>
                <w:sz w:val="28"/>
                <w:szCs w:val="28"/>
              </w:rPr>
            </w:pP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信</w:t>
            </w:r>
          </w:p>
          <w:p>
            <w:pPr>
              <w:widowControl/>
              <w:spacing w:line="380" w:lineRule="exact"/>
              <w:jc w:val="center"/>
              <w:textAlignment w:val="center"/>
              <w:rPr>
                <w:rFonts w:ascii="仿宋" w:hAnsi="仿宋" w:eastAsia="仿宋" w:cs="仿宋"/>
                <w:bCs/>
                <w:color w:val="000000"/>
                <w:sz w:val="28"/>
                <w:szCs w:val="28"/>
              </w:rPr>
            </w:pP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息</w:t>
            </w: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企业名称</w:t>
            </w:r>
          </w:p>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（盖章）</w:t>
            </w:r>
          </w:p>
        </w:tc>
        <w:tc>
          <w:tcPr>
            <w:tcW w:w="7654" w:type="dxa"/>
            <w:gridSpan w:val="2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组织机构</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代码</w:t>
            </w:r>
          </w:p>
        </w:tc>
        <w:tc>
          <w:tcPr>
            <w:tcW w:w="4095" w:type="dxa"/>
            <w:gridSpan w:val="14"/>
            <w:tcBorders>
              <w:tl2br w:val="nil"/>
              <w:tr2bl w:val="nil"/>
            </w:tcBorders>
            <w:shd w:val="clear" w:color="auto" w:fill="auto"/>
            <w:vAlign w:val="center"/>
          </w:tcPr>
          <w:p>
            <w:pPr>
              <w:widowControl/>
              <w:spacing w:line="380" w:lineRule="exact"/>
              <w:jc w:val="left"/>
              <w:rPr>
                <w:rFonts w:ascii="仿宋" w:hAnsi="仿宋" w:eastAsia="仿宋" w:cs="仿宋"/>
                <w:bCs/>
                <w:color w:val="000000"/>
                <w:sz w:val="28"/>
                <w:szCs w:val="28"/>
              </w:rPr>
            </w:pPr>
          </w:p>
        </w:tc>
        <w:tc>
          <w:tcPr>
            <w:tcW w:w="1350" w:type="dxa"/>
            <w:gridSpan w:val="7"/>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注册地</w:t>
            </w:r>
          </w:p>
        </w:tc>
        <w:tc>
          <w:tcPr>
            <w:tcW w:w="2209"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所属行业代码及名称</w:t>
            </w:r>
          </w:p>
        </w:tc>
        <w:tc>
          <w:tcPr>
            <w:tcW w:w="4095" w:type="dxa"/>
            <w:gridSpan w:val="14"/>
            <w:tcBorders>
              <w:tl2br w:val="nil"/>
              <w:tr2bl w:val="nil"/>
            </w:tcBorders>
            <w:shd w:val="clear" w:color="auto" w:fill="auto"/>
            <w:vAlign w:val="center"/>
          </w:tcPr>
          <w:p>
            <w:pPr>
              <w:widowControl/>
              <w:spacing w:line="380" w:lineRule="exact"/>
              <w:jc w:val="left"/>
              <w:rPr>
                <w:rFonts w:ascii="仿宋" w:hAnsi="仿宋" w:eastAsia="仿宋" w:cs="仿宋"/>
                <w:bCs/>
                <w:color w:val="000000"/>
                <w:sz w:val="28"/>
                <w:szCs w:val="28"/>
              </w:rPr>
            </w:pPr>
          </w:p>
        </w:tc>
        <w:tc>
          <w:tcPr>
            <w:tcW w:w="1350" w:type="dxa"/>
            <w:gridSpan w:val="7"/>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注册资金</w:t>
            </w:r>
          </w:p>
        </w:tc>
        <w:tc>
          <w:tcPr>
            <w:tcW w:w="2209"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1402"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主营业务</w:t>
            </w:r>
          </w:p>
        </w:tc>
        <w:tc>
          <w:tcPr>
            <w:tcW w:w="7654" w:type="dxa"/>
            <w:gridSpan w:val="26"/>
            <w:tcBorders>
              <w:tl2br w:val="nil"/>
              <w:tr2bl w:val="nil"/>
            </w:tcBorders>
            <w:shd w:val="clear" w:color="auto" w:fill="auto"/>
            <w:vAlign w:val="center"/>
          </w:tcPr>
          <w:p>
            <w:pPr>
              <w:widowControl/>
              <w:spacing w:line="380" w:lineRule="exact"/>
              <w:jc w:val="left"/>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企业规模</w:t>
            </w:r>
          </w:p>
        </w:tc>
        <w:tc>
          <w:tcPr>
            <w:tcW w:w="2026"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069" w:type="dxa"/>
            <w:gridSpan w:val="10"/>
            <w:tcBorders>
              <w:tl2br w:val="nil"/>
              <w:tr2bl w:val="nil"/>
            </w:tcBorders>
            <w:shd w:val="clear" w:color="auto" w:fill="auto"/>
            <w:vAlign w:val="center"/>
          </w:tcPr>
          <w:p>
            <w:pPr>
              <w:widowControl/>
              <w:spacing w:line="380" w:lineRule="exact"/>
              <w:jc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企业登记</w:t>
            </w:r>
          </w:p>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注册类型</w:t>
            </w:r>
          </w:p>
        </w:tc>
        <w:tc>
          <w:tcPr>
            <w:tcW w:w="1051"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是否上市</w:t>
            </w:r>
          </w:p>
        </w:tc>
        <w:tc>
          <w:tcPr>
            <w:tcW w:w="1203" w:type="dxa"/>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知识产权工作联系人信息</w:t>
            </w:r>
          </w:p>
        </w:tc>
        <w:tc>
          <w:tcPr>
            <w:tcW w:w="4095" w:type="dxa"/>
            <w:gridSpan w:val="14"/>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第一联系人</w:t>
            </w:r>
          </w:p>
        </w:tc>
        <w:tc>
          <w:tcPr>
            <w:tcW w:w="3559" w:type="dxa"/>
            <w:gridSpan w:val="1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第二联系人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姓  名</w:t>
            </w:r>
          </w:p>
        </w:tc>
        <w:tc>
          <w:tcPr>
            <w:tcW w:w="4095" w:type="dxa"/>
            <w:gridSpan w:val="1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所在部门</w:t>
            </w:r>
          </w:p>
        </w:tc>
        <w:tc>
          <w:tcPr>
            <w:tcW w:w="4095" w:type="dxa"/>
            <w:gridSpan w:val="1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职  务</w:t>
            </w:r>
          </w:p>
        </w:tc>
        <w:tc>
          <w:tcPr>
            <w:tcW w:w="4095" w:type="dxa"/>
            <w:gridSpan w:val="1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单位电话</w:t>
            </w:r>
          </w:p>
        </w:tc>
        <w:tc>
          <w:tcPr>
            <w:tcW w:w="4095" w:type="dxa"/>
            <w:gridSpan w:val="1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移动电话</w:t>
            </w:r>
          </w:p>
        </w:tc>
        <w:tc>
          <w:tcPr>
            <w:tcW w:w="4095" w:type="dxa"/>
            <w:gridSpan w:val="1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Email</w:t>
            </w:r>
          </w:p>
        </w:tc>
        <w:tc>
          <w:tcPr>
            <w:tcW w:w="4095" w:type="dxa"/>
            <w:gridSpan w:val="1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通讯地址</w:t>
            </w:r>
          </w:p>
        </w:tc>
        <w:tc>
          <w:tcPr>
            <w:tcW w:w="4095" w:type="dxa"/>
            <w:gridSpan w:val="1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邮  编</w:t>
            </w:r>
          </w:p>
        </w:tc>
        <w:tc>
          <w:tcPr>
            <w:tcW w:w="4095" w:type="dxa"/>
            <w:gridSpan w:val="1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黑体" w:hAnsi="黑体" w:eastAsia="黑体" w:cs="黑体"/>
                <w:bCs/>
                <w:color w:val="000000"/>
                <w:kern w:val="0"/>
                <w:sz w:val="28"/>
                <w:szCs w:val="28"/>
              </w:rPr>
              <w:t>知</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识</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产</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权</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创</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造</w:t>
            </w:r>
          </w:p>
        </w:tc>
        <w:tc>
          <w:tcPr>
            <w:tcW w:w="9523" w:type="dxa"/>
            <w:gridSpan w:val="2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年度财务基本信息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T为申报前一年，下同</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年度产值</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专利产品销售收入</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年度研发投入</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第T-2年</w:t>
            </w:r>
          </w:p>
        </w:tc>
        <w:tc>
          <w:tcPr>
            <w:tcW w:w="2596"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第T-1年</w:t>
            </w:r>
          </w:p>
        </w:tc>
        <w:tc>
          <w:tcPr>
            <w:tcW w:w="2596"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第T年</w:t>
            </w:r>
          </w:p>
        </w:tc>
        <w:tc>
          <w:tcPr>
            <w:tcW w:w="2596"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近三年专利产品销售收入与年度产值之比平均值</w:t>
            </w:r>
          </w:p>
        </w:tc>
        <w:tc>
          <w:tcPr>
            <w:tcW w:w="2596"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近三年年度研发投入与年度产值之比平均值</w:t>
            </w: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9523" w:type="dxa"/>
            <w:gridSpan w:val="2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年度知识产权投入</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81" w:type="dxa"/>
            <w:gridSpan w:val="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专利申请</w:t>
            </w:r>
          </w:p>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投入</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1215"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专利维持年费</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1365"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专利保护投入</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1185"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专利奖励投入</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1305" w:type="dxa"/>
            <w:gridSpan w:val="7"/>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其他知识产权投入（万元）</w:t>
            </w:r>
          </w:p>
        </w:tc>
        <w:tc>
          <w:tcPr>
            <w:tcW w:w="1203"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总计</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第T-2年</w:t>
            </w:r>
          </w:p>
        </w:tc>
        <w:tc>
          <w:tcPr>
            <w:tcW w:w="1381"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第T-1年</w:t>
            </w:r>
          </w:p>
        </w:tc>
        <w:tc>
          <w:tcPr>
            <w:tcW w:w="1381"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第T年</w:t>
            </w:r>
          </w:p>
        </w:tc>
        <w:tc>
          <w:tcPr>
            <w:tcW w:w="1381"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近三年专利申请情况</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发明</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实用新型</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外观设计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1381" w:type="dxa"/>
            <w:gridSpan w:val="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申请量</w:t>
            </w:r>
          </w:p>
        </w:tc>
        <w:tc>
          <w:tcPr>
            <w:tcW w:w="1215"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授权量</w:t>
            </w:r>
          </w:p>
        </w:tc>
        <w:tc>
          <w:tcPr>
            <w:tcW w:w="1365"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申请量</w:t>
            </w:r>
          </w:p>
        </w:tc>
        <w:tc>
          <w:tcPr>
            <w:tcW w:w="1185"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授权量</w:t>
            </w:r>
          </w:p>
        </w:tc>
        <w:tc>
          <w:tcPr>
            <w:tcW w:w="1305" w:type="dxa"/>
            <w:gridSpan w:val="7"/>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申请量</w:t>
            </w:r>
          </w:p>
        </w:tc>
        <w:tc>
          <w:tcPr>
            <w:tcW w:w="1203"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授权量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第T-2年</w:t>
            </w:r>
          </w:p>
        </w:tc>
        <w:tc>
          <w:tcPr>
            <w:tcW w:w="1381"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第T-1年</w:t>
            </w:r>
          </w:p>
        </w:tc>
        <w:tc>
          <w:tcPr>
            <w:tcW w:w="1381"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第T年</w:t>
            </w:r>
          </w:p>
        </w:tc>
        <w:tc>
          <w:tcPr>
            <w:tcW w:w="1381"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250" w:type="dxa"/>
            <w:gridSpan w:val="3"/>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近三年专利申请量</w:t>
            </w:r>
          </w:p>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sz w:val="28"/>
                <w:szCs w:val="28"/>
              </w:rPr>
              <w:t>平均增长率</w:t>
            </w:r>
          </w:p>
        </w:tc>
        <w:tc>
          <w:tcPr>
            <w:tcW w:w="121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sz w:val="28"/>
                <w:szCs w:val="28"/>
              </w:rPr>
              <w:t>近三年发明专利申请量平均增长率</w:t>
            </w: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截至上一年有效专利拥有量</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发明</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实用新型</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外观设计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第T年</w:t>
            </w:r>
          </w:p>
        </w:tc>
        <w:tc>
          <w:tcPr>
            <w:tcW w:w="2596"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近三年专利授权量增长率</w:t>
            </w:r>
          </w:p>
        </w:tc>
        <w:tc>
          <w:tcPr>
            <w:tcW w:w="2596"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近三年发明专利授权量增长率</w:t>
            </w: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累计向国外专利数量</w:t>
            </w:r>
          </w:p>
        </w:tc>
        <w:tc>
          <w:tcPr>
            <w:tcW w:w="3901" w:type="dxa"/>
            <w:gridSpan w:val="11"/>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PCT</w:t>
            </w:r>
          </w:p>
        </w:tc>
        <w:tc>
          <w:tcPr>
            <w:tcW w:w="3753" w:type="dxa"/>
            <w:gridSpan w:val="15"/>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巴黎公约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1381" w:type="dxa"/>
            <w:gridSpan w:val="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申请</w:t>
            </w:r>
          </w:p>
        </w:tc>
        <w:tc>
          <w:tcPr>
            <w:tcW w:w="1215"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授权</w:t>
            </w:r>
          </w:p>
        </w:tc>
        <w:tc>
          <w:tcPr>
            <w:tcW w:w="1305" w:type="dxa"/>
            <w:gridSpan w:val="5"/>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有效总量</w:t>
            </w:r>
          </w:p>
        </w:tc>
        <w:tc>
          <w:tcPr>
            <w:tcW w:w="1245" w:type="dxa"/>
            <w:gridSpan w:val="7"/>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申请</w:t>
            </w:r>
          </w:p>
        </w:tc>
        <w:tc>
          <w:tcPr>
            <w:tcW w:w="1245"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授权</w:t>
            </w:r>
          </w:p>
        </w:tc>
        <w:tc>
          <w:tcPr>
            <w:tcW w:w="1263" w:type="dxa"/>
            <w:gridSpan w:val="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有效总量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截至第T年底</w:t>
            </w:r>
          </w:p>
        </w:tc>
        <w:tc>
          <w:tcPr>
            <w:tcW w:w="1381"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4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45"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商标注册量</w:t>
            </w:r>
          </w:p>
        </w:tc>
        <w:tc>
          <w:tcPr>
            <w:tcW w:w="5146" w:type="dxa"/>
            <w:gridSpan w:val="1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国内商标注册情况</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国外商标注册</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注册商标（件）</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中国驰名商标（件）</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注册商标 （件）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截至第T年底</w:t>
            </w:r>
          </w:p>
        </w:tc>
        <w:tc>
          <w:tcPr>
            <w:tcW w:w="2596"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其它知识产权拥有量</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集成电路布图设计</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总数</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计算机软件著作权登记总数</w:t>
            </w: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截至第T年底</w:t>
            </w:r>
          </w:p>
        </w:tc>
        <w:tc>
          <w:tcPr>
            <w:tcW w:w="2596" w:type="dxa"/>
            <w:gridSpan w:val="6"/>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黑体" w:hAnsi="黑体" w:eastAsia="黑体" w:cs="黑体"/>
                <w:bCs/>
                <w:color w:val="000000"/>
                <w:kern w:val="0"/>
                <w:sz w:val="28"/>
                <w:szCs w:val="28"/>
              </w:rPr>
              <w:t>知</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识</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产</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权</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运</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用</w:t>
            </w: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知识产权实施运用情况</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运用他人专利（件）</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运用自有专利（件）</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商标运用（件）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1261"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接受转让</w:t>
            </w:r>
          </w:p>
        </w:tc>
        <w:tc>
          <w:tcPr>
            <w:tcW w:w="1335" w:type="dxa"/>
            <w:gridSpan w:val="5"/>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接受许可</w:t>
            </w:r>
          </w:p>
        </w:tc>
        <w:tc>
          <w:tcPr>
            <w:tcW w:w="1245"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向外转让</w:t>
            </w:r>
          </w:p>
        </w:tc>
        <w:tc>
          <w:tcPr>
            <w:tcW w:w="1305"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向外许可</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转让许可总量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第T-2年</w:t>
            </w:r>
          </w:p>
        </w:tc>
        <w:tc>
          <w:tcPr>
            <w:tcW w:w="1261"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4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第T-1年</w:t>
            </w:r>
          </w:p>
        </w:tc>
        <w:tc>
          <w:tcPr>
            <w:tcW w:w="1261"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4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第T年</w:t>
            </w:r>
          </w:p>
        </w:tc>
        <w:tc>
          <w:tcPr>
            <w:tcW w:w="1261" w:type="dxa"/>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245"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305"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知识产权运用经济效益</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专利转让许可收益</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1755" w:type="dxa"/>
            <w:gridSpan w:val="9"/>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商标转让</w:t>
            </w:r>
          </w:p>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许可收益</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144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专利产品</w:t>
            </w:r>
          </w:p>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销售收入</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1863" w:type="dxa"/>
            <w:gridSpan w:val="3"/>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专利产品销售收入占企业销售收入比值（％）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1261"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转让收益</w:t>
            </w:r>
          </w:p>
        </w:tc>
        <w:tc>
          <w:tcPr>
            <w:tcW w:w="1335" w:type="dxa"/>
            <w:gridSpan w:val="5"/>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许可收益</w:t>
            </w:r>
          </w:p>
        </w:tc>
        <w:tc>
          <w:tcPr>
            <w:tcW w:w="1755" w:type="dxa"/>
            <w:gridSpan w:val="9"/>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第T-2年</w:t>
            </w:r>
          </w:p>
        </w:tc>
        <w:tc>
          <w:tcPr>
            <w:tcW w:w="1261"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55" w:type="dxa"/>
            <w:gridSpan w:val="9"/>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第T-1年</w:t>
            </w:r>
          </w:p>
        </w:tc>
        <w:tc>
          <w:tcPr>
            <w:tcW w:w="1261"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55" w:type="dxa"/>
            <w:gridSpan w:val="9"/>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第T年</w:t>
            </w:r>
          </w:p>
        </w:tc>
        <w:tc>
          <w:tcPr>
            <w:tcW w:w="1261"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55" w:type="dxa"/>
            <w:gridSpan w:val="9"/>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知识产权</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投融资情况</w:t>
            </w:r>
          </w:p>
        </w:tc>
        <w:tc>
          <w:tcPr>
            <w:tcW w:w="1741" w:type="dxa"/>
            <w:gridSpan w:val="3"/>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专利实施率（％）</w:t>
            </w:r>
          </w:p>
        </w:tc>
        <w:tc>
          <w:tcPr>
            <w:tcW w:w="2610" w:type="dxa"/>
            <w:gridSpan w:val="12"/>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知识产权作价入股</w:t>
            </w:r>
          </w:p>
        </w:tc>
        <w:tc>
          <w:tcPr>
            <w:tcW w:w="3303" w:type="dxa"/>
            <w:gridSpan w:val="11"/>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知识产权质押融资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1260"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数量</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（件）</w:t>
            </w:r>
          </w:p>
        </w:tc>
        <w:tc>
          <w:tcPr>
            <w:tcW w:w="135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金额</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（万元）</w:t>
            </w:r>
          </w:p>
        </w:tc>
        <w:tc>
          <w:tcPr>
            <w:tcW w:w="144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数量</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（件）</w:t>
            </w:r>
          </w:p>
        </w:tc>
        <w:tc>
          <w:tcPr>
            <w:tcW w:w="1863" w:type="dxa"/>
            <w:gridSpan w:val="3"/>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金额</w:t>
            </w:r>
          </w:p>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第T-2年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260"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35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第T-1年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260"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35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260"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35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利用专利信息优化知识产权产出导向</w:t>
            </w:r>
          </w:p>
        </w:tc>
        <w:tc>
          <w:tcPr>
            <w:tcW w:w="5221" w:type="dxa"/>
            <w:gridSpan w:val="20"/>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企业是否对竞争对手专利信息进行分析</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5221" w:type="dxa"/>
            <w:gridSpan w:val="20"/>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是否充分利用失效、无效专利及他国专利</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在各过程中是否进行了专利信息的检索与分析</w:t>
            </w:r>
          </w:p>
        </w:tc>
        <w:tc>
          <w:tcPr>
            <w:tcW w:w="3480" w:type="dxa"/>
            <w:gridSpan w:val="1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战略布局与主动防御</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新产品开发、科研立项</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专利申请</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专利诉讼</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产品、技术进出口</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专利许可</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专利投融资</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中外合资合作</w:t>
            </w:r>
          </w:p>
        </w:tc>
        <w:tc>
          <w:tcPr>
            <w:tcW w:w="1170"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黑体" w:hAnsi="黑体" w:eastAsia="黑体" w:cs="黑体"/>
                <w:bCs/>
                <w:color w:val="000000"/>
                <w:kern w:val="0"/>
                <w:sz w:val="28"/>
                <w:szCs w:val="28"/>
              </w:rPr>
              <w:t>知</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识</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产</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权</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保</w:t>
            </w:r>
            <w:r>
              <w:rPr>
                <w:rFonts w:hint="eastAsia" w:ascii="黑体" w:hAnsi="黑体" w:eastAsia="黑体" w:cs="黑体"/>
                <w:bCs/>
                <w:color w:val="000000"/>
                <w:kern w:val="0"/>
                <w:sz w:val="28"/>
                <w:szCs w:val="28"/>
              </w:rPr>
              <w:br w:type="textWrapping"/>
            </w:r>
            <w:r>
              <w:rPr>
                <w:rFonts w:hint="eastAsia" w:ascii="黑体" w:hAnsi="黑体" w:eastAsia="黑体" w:cs="黑体"/>
                <w:bCs/>
                <w:color w:val="000000"/>
                <w:kern w:val="0"/>
                <w:sz w:val="28"/>
                <w:szCs w:val="28"/>
              </w:rPr>
              <w:t>护</w:t>
            </w: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行政、司法途径</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专利行政调处（件）</w:t>
            </w:r>
          </w:p>
        </w:tc>
        <w:tc>
          <w:tcPr>
            <w:tcW w:w="1770" w:type="dxa"/>
            <w:gridSpan w:val="5"/>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专利司法诉讼（件）</w:t>
            </w:r>
          </w:p>
        </w:tc>
        <w:tc>
          <w:tcPr>
            <w:tcW w:w="141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商标</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（件）</w:t>
            </w:r>
          </w:p>
        </w:tc>
        <w:tc>
          <w:tcPr>
            <w:tcW w:w="147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版权</w:t>
            </w:r>
          </w:p>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（件）</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其它</w:t>
            </w:r>
          </w:p>
          <w:p>
            <w:pPr>
              <w:widowControl/>
              <w:spacing w:line="380" w:lineRule="exact"/>
              <w:jc w:val="center"/>
              <w:rPr>
                <w:rFonts w:ascii="仿宋" w:hAnsi="仿宋" w:eastAsia="仿宋" w:cs="仿宋"/>
                <w:b/>
                <w:color w:val="000000"/>
                <w:sz w:val="28"/>
                <w:szCs w:val="28"/>
              </w:rPr>
            </w:pPr>
            <w:r>
              <w:rPr>
                <w:rFonts w:hint="eastAsia" w:ascii="仿宋" w:hAnsi="仿宋" w:eastAsia="仿宋" w:cs="仿宋"/>
                <w:b/>
                <w:color w:val="000000"/>
                <w:kern w:val="0"/>
                <w:sz w:val="28"/>
                <w:szCs w:val="28"/>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第T-2年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770" w:type="dxa"/>
            <w:gridSpan w:val="5"/>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41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47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263" w:type="dxa"/>
            <w:gridSpan w:val="2"/>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第T-1年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770" w:type="dxa"/>
            <w:gridSpan w:val="5"/>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41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47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263" w:type="dxa"/>
            <w:gridSpan w:val="2"/>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770" w:type="dxa"/>
            <w:gridSpan w:val="5"/>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41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470" w:type="dxa"/>
            <w:gridSpan w:val="8"/>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263" w:type="dxa"/>
            <w:gridSpan w:val="2"/>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自身途径</w:t>
            </w: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是否建立贯穿生产经营全流程的知识产权侵权预警机制和风险监控机制</w:t>
            </w:r>
          </w:p>
        </w:tc>
        <w:tc>
          <w:tcPr>
            <w:tcW w:w="127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是否定期开展知识产权风险测评</w:t>
            </w:r>
          </w:p>
        </w:tc>
        <w:tc>
          <w:tcPr>
            <w:tcW w:w="127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是否通过开展知识产权尽职调查。获得知识产权许可等方式，避免主观恶意侵犯他人知识产权</w:t>
            </w:r>
          </w:p>
        </w:tc>
        <w:tc>
          <w:tcPr>
            <w:tcW w:w="127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是否推动建立行业知识产权维权协作机制，参与行业专利纠纷处置</w:t>
            </w:r>
          </w:p>
        </w:tc>
        <w:tc>
          <w:tcPr>
            <w:tcW w:w="127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是否建立了应对国际、国内知识产权纠纷的机制，编制并适时调整相关预案</w:t>
            </w:r>
          </w:p>
        </w:tc>
        <w:tc>
          <w:tcPr>
            <w:tcW w:w="1275"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管理体系建设</w:t>
            </w:r>
          </w:p>
        </w:tc>
        <w:tc>
          <w:tcPr>
            <w:tcW w:w="4351" w:type="dxa"/>
            <w:gridSpan w:val="15"/>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是否通过国家标准《企业知识产权管理规范》GB/T29490-2013认证</w:t>
            </w:r>
          </w:p>
        </w:tc>
        <w:tc>
          <w:tcPr>
            <w:tcW w:w="3303" w:type="dxa"/>
            <w:gridSpan w:val="11"/>
            <w:tcBorders>
              <w:tl2br w:val="nil"/>
              <w:tr2bl w:val="nil"/>
            </w:tcBorders>
            <w:shd w:val="clear" w:color="auto" w:fill="auto"/>
            <w:vAlign w:val="center"/>
          </w:tcPr>
          <w:p>
            <w:pPr>
              <w:widowControl/>
              <w:spacing w:line="380" w:lineRule="exact"/>
              <w:ind w:left="218" w:leftChars="103" w:hanging="2"/>
              <w:rPr>
                <w:rFonts w:ascii="仿宋" w:hAnsi="仿宋" w:eastAsia="仿宋" w:cs="仿宋"/>
                <w:bCs/>
                <w:color w:val="000000"/>
                <w:sz w:val="28"/>
                <w:szCs w:val="28"/>
              </w:rPr>
            </w:pPr>
            <w:r>
              <w:rPr>
                <w:rFonts w:hint="eastAsia" w:ascii="仿宋" w:hAnsi="仿宋" w:eastAsia="仿宋" w:cs="仿宋"/>
                <w:bCs/>
                <w:color w:val="000000"/>
                <w:kern w:val="0"/>
                <w:sz w:val="28"/>
                <w:szCs w:val="28"/>
              </w:rPr>
              <w:t>A.是，已经通过认证</w:t>
            </w:r>
            <w:r>
              <w:rPr>
                <w:rFonts w:hint="eastAsia" w:ascii="仿宋" w:hAnsi="仿宋" w:eastAsia="仿宋" w:cs="仿宋"/>
                <w:bCs/>
                <w:color w:val="000000"/>
                <w:kern w:val="0"/>
                <w:sz w:val="28"/>
                <w:szCs w:val="28"/>
              </w:rPr>
              <w:br w:type="textWrapping"/>
            </w:r>
            <w:r>
              <w:rPr>
                <w:rFonts w:hint="eastAsia" w:ascii="仿宋" w:hAnsi="仿宋" w:eastAsia="仿宋" w:cs="仿宋"/>
                <w:bCs/>
                <w:color w:val="000000"/>
                <w:kern w:val="0"/>
                <w:sz w:val="28"/>
                <w:szCs w:val="28"/>
              </w:rPr>
              <w:t>B.否，正在推进</w:t>
            </w:r>
            <w:r>
              <w:rPr>
                <w:rFonts w:hint="eastAsia" w:ascii="仿宋" w:hAnsi="仿宋" w:eastAsia="仿宋" w:cs="仿宋"/>
                <w:bCs/>
                <w:color w:val="000000"/>
                <w:kern w:val="0"/>
                <w:sz w:val="28"/>
                <w:szCs w:val="28"/>
              </w:rPr>
              <w:br w:type="textWrapping"/>
            </w:r>
            <w:r>
              <w:rPr>
                <w:rFonts w:hint="eastAsia" w:ascii="仿宋" w:hAnsi="仿宋" w:eastAsia="仿宋" w:cs="仿宋"/>
                <w:bCs/>
                <w:color w:val="000000"/>
                <w:kern w:val="0"/>
                <w:sz w:val="28"/>
                <w:szCs w:val="28"/>
              </w:rPr>
              <w:t>C.否，暂未推进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机构人员</w:t>
            </w:r>
          </w:p>
        </w:tc>
        <w:tc>
          <w:tcPr>
            <w:tcW w:w="4351" w:type="dxa"/>
            <w:gridSpan w:val="15"/>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知识产权管理部门隶属部门名称</w:t>
            </w:r>
          </w:p>
        </w:tc>
        <w:tc>
          <w:tcPr>
            <w:tcW w:w="3303" w:type="dxa"/>
            <w:gridSpan w:val="11"/>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知识产权人员情况</w:t>
            </w:r>
          </w:p>
        </w:tc>
        <w:tc>
          <w:tcPr>
            <w:tcW w:w="2041" w:type="dxa"/>
            <w:gridSpan w:val="5"/>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专职人数</w:t>
            </w:r>
          </w:p>
        </w:tc>
        <w:tc>
          <w:tcPr>
            <w:tcW w:w="1755"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兼职人数</w:t>
            </w:r>
          </w:p>
        </w:tc>
        <w:tc>
          <w:tcPr>
            <w:tcW w:w="1800" w:type="dxa"/>
            <w:gridSpan w:val="13"/>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其中具有代理资格人数</w:t>
            </w:r>
          </w:p>
        </w:tc>
        <w:tc>
          <w:tcPr>
            <w:tcW w:w="2058"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其中律师人数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第T-2年</w:t>
            </w:r>
          </w:p>
        </w:tc>
        <w:tc>
          <w:tcPr>
            <w:tcW w:w="2041"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55"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800" w:type="dxa"/>
            <w:gridSpan w:val="13"/>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2058"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第T-1年</w:t>
            </w:r>
          </w:p>
        </w:tc>
        <w:tc>
          <w:tcPr>
            <w:tcW w:w="2041"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55"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800" w:type="dxa"/>
            <w:gridSpan w:val="13"/>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2058"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第T年</w:t>
            </w:r>
          </w:p>
        </w:tc>
        <w:tc>
          <w:tcPr>
            <w:tcW w:w="2041"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55" w:type="dxa"/>
            <w:gridSpan w:val="4"/>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1800" w:type="dxa"/>
            <w:gridSpan w:val="13"/>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2058" w:type="dxa"/>
            <w:gridSpan w:val="4"/>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restart"/>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黑体" w:hAnsi="宋体" w:eastAsia="黑体"/>
                <w:color w:val="000000" w:themeColor="text1"/>
                <w:sz w:val="32"/>
                <w14:textFill>
                  <w14:solidFill>
                    <w14:schemeClr w14:val="tx1"/>
                  </w14:solidFill>
                </w14:textFill>
              </w:rPr>
              <w:t>知识产权管理</w:t>
            </w: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规章制度</w:t>
            </w:r>
          </w:p>
        </w:tc>
        <w:tc>
          <w:tcPr>
            <w:tcW w:w="1741" w:type="dxa"/>
            <w:gridSpan w:val="3"/>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知识产权管理制度</w:t>
            </w: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仿宋" w:hAnsi="仿宋" w:eastAsia="仿宋" w:cs="仿宋"/>
                <w:bCs/>
                <w:color w:val="000000"/>
                <w:sz w:val="28"/>
                <w:szCs w:val="28"/>
              </w:rPr>
            </w:pPr>
            <w:r>
              <w:rPr>
                <w:rFonts w:hint="eastAsia" w:ascii="仿宋" w:hAnsi="仿宋" w:eastAsia="仿宋" w:cs="仿宋"/>
                <w:bCs/>
                <w:color w:val="000000"/>
                <w:kern w:val="0"/>
                <w:sz w:val="28"/>
                <w:szCs w:val="28"/>
              </w:rPr>
              <w:t>知识产权机构管理制度</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仿宋" w:hAnsi="仿宋" w:eastAsia="仿宋" w:cs="仿宋"/>
                <w:bCs/>
                <w:color w:val="000000"/>
                <w:sz w:val="28"/>
                <w:szCs w:val="28"/>
              </w:rPr>
            </w:pPr>
            <w:r>
              <w:rPr>
                <w:rFonts w:hint="eastAsia" w:ascii="仿宋" w:hAnsi="仿宋" w:eastAsia="仿宋" w:cs="仿宋"/>
                <w:bCs/>
                <w:color w:val="000000"/>
                <w:kern w:val="0"/>
                <w:sz w:val="28"/>
                <w:szCs w:val="28"/>
              </w:rPr>
              <w:t>知识产权教育培训制度</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仿宋" w:hAnsi="仿宋" w:eastAsia="仿宋" w:cs="仿宋"/>
                <w:bCs/>
                <w:color w:val="000000"/>
                <w:sz w:val="28"/>
                <w:szCs w:val="28"/>
              </w:rPr>
            </w:pPr>
            <w:r>
              <w:rPr>
                <w:rFonts w:hint="eastAsia" w:ascii="仿宋" w:hAnsi="仿宋" w:eastAsia="仿宋" w:cs="仿宋"/>
                <w:bCs/>
                <w:color w:val="000000"/>
                <w:kern w:val="0"/>
                <w:sz w:val="28"/>
                <w:szCs w:val="28"/>
              </w:rPr>
              <w:t>知识产权奖励激励机制</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仿宋" w:hAnsi="仿宋" w:eastAsia="仿宋" w:cs="仿宋"/>
                <w:bCs/>
                <w:color w:val="000000"/>
                <w:sz w:val="28"/>
                <w:szCs w:val="28"/>
              </w:rPr>
            </w:pPr>
            <w:r>
              <w:rPr>
                <w:rFonts w:hint="eastAsia" w:ascii="仿宋" w:hAnsi="仿宋" w:eastAsia="仿宋" w:cs="仿宋"/>
                <w:bCs/>
                <w:color w:val="000000"/>
                <w:kern w:val="0"/>
                <w:sz w:val="28"/>
                <w:szCs w:val="28"/>
              </w:rPr>
              <w:t>技术及商业保密管理制度</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仿宋" w:hAnsi="仿宋" w:eastAsia="仿宋" w:cs="仿宋"/>
                <w:bCs/>
                <w:color w:val="000000"/>
                <w:sz w:val="28"/>
                <w:szCs w:val="28"/>
              </w:rPr>
            </w:pPr>
            <w:r>
              <w:rPr>
                <w:rFonts w:hint="eastAsia" w:ascii="仿宋" w:hAnsi="仿宋" w:eastAsia="仿宋" w:cs="仿宋"/>
                <w:bCs/>
                <w:color w:val="000000"/>
                <w:kern w:val="0"/>
                <w:sz w:val="28"/>
                <w:szCs w:val="28"/>
              </w:rPr>
              <w:t>竞业禁止制度</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r>
              <w:rPr>
                <w:rFonts w:hint="eastAsia" w:ascii="仿宋" w:hAnsi="仿宋" w:eastAsia="仿宋" w:cs="仿宋"/>
                <w:b/>
                <w:color w:val="000000"/>
                <w:kern w:val="0"/>
                <w:sz w:val="28"/>
                <w:szCs w:val="28"/>
              </w:rPr>
              <w:t>战略规划</w:t>
            </w:r>
          </w:p>
        </w:tc>
        <w:tc>
          <w:tcPr>
            <w:tcW w:w="5191" w:type="dxa"/>
            <w:gridSpan w:val="19"/>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劳动合同中是否有界定职务发明条款</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 xml:space="preserve"> 签订合同时是否有约定知识产权权利归属和保护知识产权的条款</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是否制定了知识产权战略（规划）并纳入整体发展规划</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是否建立了企业职务发明人权益保护和奖励机制</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支撑体系</w:t>
            </w:r>
          </w:p>
        </w:tc>
        <w:tc>
          <w:tcPr>
            <w:tcW w:w="5191" w:type="dxa"/>
            <w:gridSpan w:val="19"/>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是否建立了内部专家评议机制或项目知识产权专员跟踪机制等</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907"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是否借助外部知识产权服务机构进行专利申请以外的专业化服务</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262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近三年核心人员知识产权培训率(核心人员包括企业管理人员、知识产权工作人员和研发人员。培训率为被培训核心人员占核心人员总数的比例。)</w:t>
            </w:r>
          </w:p>
        </w:tc>
        <w:tc>
          <w:tcPr>
            <w:tcW w:w="2463" w:type="dxa"/>
            <w:gridSpan w:val="7"/>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restart"/>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黑体" w:hAnsi="黑体" w:eastAsia="黑体" w:cs="黑体"/>
                <w:bCs/>
                <w:color w:val="000000"/>
                <w:sz w:val="28"/>
                <w:szCs w:val="28"/>
              </w:rPr>
              <w:t>奖励及加分项</w:t>
            </w: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重要成果</w:t>
            </w:r>
          </w:p>
        </w:tc>
        <w:tc>
          <w:tcPr>
            <w:tcW w:w="5191" w:type="dxa"/>
            <w:gridSpan w:val="19"/>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是否承担国家重大科技专项</w:t>
            </w:r>
          </w:p>
        </w:tc>
        <w:tc>
          <w:tcPr>
            <w:tcW w:w="1200" w:type="dxa"/>
            <w:gridSpan w:val="5"/>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r>
              <w:rPr>
                <w:rFonts w:hint="eastAsia" w:ascii="仿宋" w:hAnsi="仿宋"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4021" w:type="dxa"/>
            <w:gridSpan w:val="13"/>
            <w:vMerge w:val="restart"/>
            <w:tcBorders>
              <w:tl2br w:val="nil"/>
              <w:tr2bl w:val="nil"/>
            </w:tcBorders>
            <w:shd w:val="clear" w:color="auto" w:fill="auto"/>
            <w:vAlign w:val="center"/>
          </w:tcPr>
          <w:p>
            <w:pPr>
              <w:widowControl/>
              <w:spacing w:line="420" w:lineRule="exact"/>
              <w:jc w:val="left"/>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获得国家级专利奖情况(企业获得的国家级和省级知识产权工作奖励。纳入评价范围的包括企业近五年获得的国家级知识产权奖励和近三年获得的省级知识产权奖励。国家级知识产权奖励包括中国专利奖、中国商标金奖、世界知识产权组织版权金奖（中国）和国家技术发明奖；省级知识产权奖励是指省级政府设立的知识产权奖励，不含省级政府下属部门或单位颁发的奖项。)</w:t>
            </w:r>
          </w:p>
        </w:tc>
        <w:tc>
          <w:tcPr>
            <w:tcW w:w="3633" w:type="dxa"/>
            <w:gridSpan w:val="1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中国专利金奖（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中国专利优秀奖（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中国商标金奖（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left"/>
              <w:textAlignment w:val="center"/>
              <w:rPr>
                <w:rFonts w:ascii="仿宋" w:hAnsi="仿宋"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世界知识产权组织版权金奖（中国）（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center"/>
              <w:textAlignment w:val="center"/>
              <w:rPr>
                <w:rFonts w:ascii="仿宋" w:hAnsi="仿宋"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国家技术发明奖（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left"/>
              <w:textAlignment w:val="center"/>
              <w:rPr>
                <w:rFonts w:ascii="仿宋" w:hAnsi="仿宋"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省级知识产权奖励是指省级政府设立的知识产权奖励，不含省级政府下属部门或单位颁发的奖项。省级政府奖励（ ）项，广东省知识产权</w:t>
            </w:r>
            <w:r>
              <w:rPr>
                <w:rFonts w:hint="eastAsia" w:ascii="仿宋" w:hAnsi="仿宋" w:eastAsia="仿宋" w:cs="仿宋"/>
                <w:bCs/>
                <w:color w:val="000000"/>
                <w:kern w:val="0"/>
                <w:sz w:val="28"/>
                <w:szCs w:val="28"/>
                <w:lang w:eastAsia="zh-CN"/>
              </w:rPr>
              <w:t>优势</w:t>
            </w:r>
            <w:r>
              <w:rPr>
                <w:rFonts w:hint="eastAsia" w:ascii="仿宋" w:hAnsi="仿宋" w:eastAsia="仿宋" w:cs="仿宋"/>
                <w:bCs/>
                <w:color w:val="000000"/>
                <w:kern w:val="0"/>
                <w:sz w:val="28"/>
                <w:szCs w:val="28"/>
              </w:rPr>
              <w:t>企业（ ）项，广东省专利优秀奖（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4021" w:type="dxa"/>
            <w:gridSpan w:val="13"/>
            <w:vMerge w:val="restart"/>
            <w:tcBorders>
              <w:tl2br w:val="nil"/>
              <w:tr2bl w:val="nil"/>
            </w:tcBorders>
            <w:shd w:val="clear" w:color="auto" w:fill="auto"/>
            <w:vAlign w:val="center"/>
          </w:tcPr>
          <w:p>
            <w:pPr>
              <w:widowControl/>
              <w:spacing w:line="380" w:lineRule="exact"/>
              <w:jc w:val="left"/>
              <w:textAlignment w:val="center"/>
              <w:rPr>
                <w:rFonts w:ascii="仿宋" w:hAnsi="仿宋" w:eastAsia="仿宋" w:cs="仿宋"/>
                <w:bCs/>
                <w:color w:val="000000"/>
                <w:sz w:val="28"/>
                <w:szCs w:val="28"/>
              </w:rPr>
            </w:pPr>
            <w:r>
              <w:rPr>
                <w:rFonts w:hint="eastAsia" w:ascii="仿宋" w:hAnsi="仿宋" w:eastAsia="仿宋" w:cs="仿宋"/>
                <w:bCs/>
                <w:color w:val="000000"/>
                <w:kern w:val="0"/>
                <w:sz w:val="28"/>
                <w:szCs w:val="28"/>
              </w:rPr>
              <w:t>积极主导或参与标准制定</w:t>
            </w:r>
          </w:p>
        </w:tc>
        <w:tc>
          <w:tcPr>
            <w:tcW w:w="3633" w:type="dxa"/>
            <w:gridSpan w:val="1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国家标准（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left"/>
              <w:textAlignment w:val="center"/>
              <w:rPr>
                <w:rFonts w:ascii="仿宋" w:hAnsi="仿宋"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行业标准（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仿宋" w:hAnsi="仿宋"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left"/>
              <w:textAlignment w:val="center"/>
              <w:rPr>
                <w:rFonts w:ascii="仿宋" w:hAnsi="仿宋"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仿宋" w:hAnsi="仿宋" w:eastAsia="仿宋" w:cs="仿宋"/>
                <w:bCs/>
                <w:color w:val="000000"/>
                <w:sz w:val="28"/>
                <w:szCs w:val="28"/>
              </w:rPr>
            </w:pPr>
            <w:r>
              <w:rPr>
                <w:rFonts w:hint="eastAsia" w:ascii="仿宋" w:hAnsi="仿宋" w:eastAsia="仿宋" w:cs="仿宋"/>
                <w:bCs/>
                <w:color w:val="000000"/>
                <w:kern w:val="0"/>
                <w:sz w:val="28"/>
                <w:szCs w:val="28"/>
              </w:rPr>
              <w:t>国际标准（ ）项</w:t>
            </w:r>
          </w:p>
        </w:tc>
      </w:tr>
    </w:tbl>
    <w:p>
      <w:pPr>
        <w:spacing w:afterLines="50"/>
        <w:rPr>
          <w:rFonts w:ascii="方正小标宋_GBK" w:hAnsi="方正小标宋_GBK" w:eastAsia="方正小标宋_GBK" w:cs="方正小标宋_GBK"/>
          <w:sz w:val="30"/>
          <w:szCs w:val="30"/>
        </w:rPr>
      </w:pPr>
    </w:p>
    <w:sectPr>
      <w:footerReference r:id="rId3" w:type="default"/>
      <w:pgSz w:w="11906" w:h="16838"/>
      <w:pgMar w:top="1440" w:right="866" w:bottom="1440" w:left="96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m0s0qvQEAAGIDAAAOAAAAAAAAAAEAIAAAAB4BAABkcnMvZTJvRG9jLnhtbFBLBQYAAAAA&#10;BgAGAFkBAABN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1,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4A"/>
    <w:rsid w:val="001324A1"/>
    <w:rsid w:val="0017286D"/>
    <w:rsid w:val="00175A08"/>
    <w:rsid w:val="001A7148"/>
    <w:rsid w:val="001B0FD5"/>
    <w:rsid w:val="001F1C3A"/>
    <w:rsid w:val="00221760"/>
    <w:rsid w:val="002251BB"/>
    <w:rsid w:val="0024748F"/>
    <w:rsid w:val="002A7DA8"/>
    <w:rsid w:val="002E0E34"/>
    <w:rsid w:val="00361A1A"/>
    <w:rsid w:val="00382AAF"/>
    <w:rsid w:val="003D566A"/>
    <w:rsid w:val="00487BD6"/>
    <w:rsid w:val="004D7DFC"/>
    <w:rsid w:val="00576F62"/>
    <w:rsid w:val="005975B3"/>
    <w:rsid w:val="00655C4E"/>
    <w:rsid w:val="00690999"/>
    <w:rsid w:val="006E20A1"/>
    <w:rsid w:val="00753967"/>
    <w:rsid w:val="007F1134"/>
    <w:rsid w:val="0099234A"/>
    <w:rsid w:val="00992468"/>
    <w:rsid w:val="009C4F4C"/>
    <w:rsid w:val="009D01DD"/>
    <w:rsid w:val="00A653D6"/>
    <w:rsid w:val="00A94992"/>
    <w:rsid w:val="00AB3936"/>
    <w:rsid w:val="00AD7B50"/>
    <w:rsid w:val="00BC5D20"/>
    <w:rsid w:val="00C22A47"/>
    <w:rsid w:val="00CF2B83"/>
    <w:rsid w:val="00D0645D"/>
    <w:rsid w:val="00D6271B"/>
    <w:rsid w:val="00DB4E8E"/>
    <w:rsid w:val="00E5247F"/>
    <w:rsid w:val="01A0725D"/>
    <w:rsid w:val="023547E2"/>
    <w:rsid w:val="035C5C15"/>
    <w:rsid w:val="046E15EF"/>
    <w:rsid w:val="04EA68FD"/>
    <w:rsid w:val="053071AE"/>
    <w:rsid w:val="05421AD2"/>
    <w:rsid w:val="05D4430F"/>
    <w:rsid w:val="065D689A"/>
    <w:rsid w:val="080734D7"/>
    <w:rsid w:val="0859372A"/>
    <w:rsid w:val="08C37B86"/>
    <w:rsid w:val="0A786C89"/>
    <w:rsid w:val="0AE305A6"/>
    <w:rsid w:val="0B924FD8"/>
    <w:rsid w:val="0BC07394"/>
    <w:rsid w:val="0C0157B4"/>
    <w:rsid w:val="0D87155C"/>
    <w:rsid w:val="0D8D263E"/>
    <w:rsid w:val="0DDC414B"/>
    <w:rsid w:val="0DF5039A"/>
    <w:rsid w:val="0E5E7DC5"/>
    <w:rsid w:val="0E716B29"/>
    <w:rsid w:val="0E745A09"/>
    <w:rsid w:val="0EF4701B"/>
    <w:rsid w:val="12554D17"/>
    <w:rsid w:val="128E20FA"/>
    <w:rsid w:val="12C61A30"/>
    <w:rsid w:val="13DD0F18"/>
    <w:rsid w:val="1493464D"/>
    <w:rsid w:val="15100533"/>
    <w:rsid w:val="155C248C"/>
    <w:rsid w:val="159B53DA"/>
    <w:rsid w:val="16417C72"/>
    <w:rsid w:val="16432C84"/>
    <w:rsid w:val="170C1813"/>
    <w:rsid w:val="18687293"/>
    <w:rsid w:val="19BC68BD"/>
    <w:rsid w:val="1AEC3B69"/>
    <w:rsid w:val="1AF71CC8"/>
    <w:rsid w:val="1B140426"/>
    <w:rsid w:val="1C0E43FD"/>
    <w:rsid w:val="1CF042D3"/>
    <w:rsid w:val="1D1B2273"/>
    <w:rsid w:val="1D905DA3"/>
    <w:rsid w:val="1DA6393C"/>
    <w:rsid w:val="1F107A47"/>
    <w:rsid w:val="1F2369FB"/>
    <w:rsid w:val="1F3803CA"/>
    <w:rsid w:val="1F9474EF"/>
    <w:rsid w:val="20E44733"/>
    <w:rsid w:val="21071795"/>
    <w:rsid w:val="21BA7A5C"/>
    <w:rsid w:val="22E84E15"/>
    <w:rsid w:val="233F76E0"/>
    <w:rsid w:val="255D02CD"/>
    <w:rsid w:val="2568691B"/>
    <w:rsid w:val="27144822"/>
    <w:rsid w:val="2747242A"/>
    <w:rsid w:val="277E7513"/>
    <w:rsid w:val="27D43B10"/>
    <w:rsid w:val="28937EA7"/>
    <w:rsid w:val="28EA6EE6"/>
    <w:rsid w:val="29B7065B"/>
    <w:rsid w:val="2A220139"/>
    <w:rsid w:val="2C4A1764"/>
    <w:rsid w:val="2EE15B28"/>
    <w:rsid w:val="2FAC5FE6"/>
    <w:rsid w:val="301E5C01"/>
    <w:rsid w:val="30241EB9"/>
    <w:rsid w:val="31151F41"/>
    <w:rsid w:val="311F2935"/>
    <w:rsid w:val="325E7E4A"/>
    <w:rsid w:val="32700190"/>
    <w:rsid w:val="32CC3D50"/>
    <w:rsid w:val="34631745"/>
    <w:rsid w:val="34C479AA"/>
    <w:rsid w:val="34F5581C"/>
    <w:rsid w:val="384E202A"/>
    <w:rsid w:val="39E342FF"/>
    <w:rsid w:val="3A5343EA"/>
    <w:rsid w:val="3A6B4C0B"/>
    <w:rsid w:val="3AB178F7"/>
    <w:rsid w:val="3B0E5E38"/>
    <w:rsid w:val="3BE62D5D"/>
    <w:rsid w:val="3C5C5FB3"/>
    <w:rsid w:val="3C901A7F"/>
    <w:rsid w:val="3CC10393"/>
    <w:rsid w:val="3D3025FD"/>
    <w:rsid w:val="3D8E78C7"/>
    <w:rsid w:val="3F0679E3"/>
    <w:rsid w:val="40AA1EE3"/>
    <w:rsid w:val="414A0816"/>
    <w:rsid w:val="414E46A4"/>
    <w:rsid w:val="41AD76D6"/>
    <w:rsid w:val="42A16270"/>
    <w:rsid w:val="44A723B4"/>
    <w:rsid w:val="44C115A9"/>
    <w:rsid w:val="455B7DDC"/>
    <w:rsid w:val="46DE4B6C"/>
    <w:rsid w:val="47D53244"/>
    <w:rsid w:val="48386C48"/>
    <w:rsid w:val="48B673B7"/>
    <w:rsid w:val="48D240A3"/>
    <w:rsid w:val="493C44A9"/>
    <w:rsid w:val="49A06D0E"/>
    <w:rsid w:val="4AA80A1E"/>
    <w:rsid w:val="4B604772"/>
    <w:rsid w:val="4CC2551C"/>
    <w:rsid w:val="4DFE586B"/>
    <w:rsid w:val="513A6E53"/>
    <w:rsid w:val="513F0911"/>
    <w:rsid w:val="52005850"/>
    <w:rsid w:val="53FE079A"/>
    <w:rsid w:val="54823AF3"/>
    <w:rsid w:val="54CE4992"/>
    <w:rsid w:val="54E73605"/>
    <w:rsid w:val="558A0BC3"/>
    <w:rsid w:val="56FD60A9"/>
    <w:rsid w:val="592B39D2"/>
    <w:rsid w:val="59455334"/>
    <w:rsid w:val="597F2B27"/>
    <w:rsid w:val="5AA0693E"/>
    <w:rsid w:val="5AAC5B45"/>
    <w:rsid w:val="5B556795"/>
    <w:rsid w:val="5CBC1987"/>
    <w:rsid w:val="5D795F83"/>
    <w:rsid w:val="5F9D1708"/>
    <w:rsid w:val="6005623C"/>
    <w:rsid w:val="607B4268"/>
    <w:rsid w:val="61C72FAD"/>
    <w:rsid w:val="62067427"/>
    <w:rsid w:val="62524D8E"/>
    <w:rsid w:val="64B87995"/>
    <w:rsid w:val="65F04AF5"/>
    <w:rsid w:val="671F5ED3"/>
    <w:rsid w:val="672F15C2"/>
    <w:rsid w:val="673843B9"/>
    <w:rsid w:val="68F136C3"/>
    <w:rsid w:val="6A407883"/>
    <w:rsid w:val="6A5B1F0E"/>
    <w:rsid w:val="6AC85AE2"/>
    <w:rsid w:val="6B702B95"/>
    <w:rsid w:val="6D914CD9"/>
    <w:rsid w:val="6ECD22AF"/>
    <w:rsid w:val="70BE2D82"/>
    <w:rsid w:val="70FB4819"/>
    <w:rsid w:val="71A076A5"/>
    <w:rsid w:val="71C30ACD"/>
    <w:rsid w:val="72BA6AFD"/>
    <w:rsid w:val="7349326D"/>
    <w:rsid w:val="73517799"/>
    <w:rsid w:val="74771689"/>
    <w:rsid w:val="751753FD"/>
    <w:rsid w:val="7595110C"/>
    <w:rsid w:val="76707B43"/>
    <w:rsid w:val="76855D8D"/>
    <w:rsid w:val="76920872"/>
    <w:rsid w:val="769644A5"/>
    <w:rsid w:val="7711206E"/>
    <w:rsid w:val="796E1A72"/>
    <w:rsid w:val="79E9531B"/>
    <w:rsid w:val="7A1D2E79"/>
    <w:rsid w:val="7AD67307"/>
    <w:rsid w:val="7BB96469"/>
    <w:rsid w:val="7D0C3E7B"/>
    <w:rsid w:val="7DE326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table" w:styleId="9">
    <w:name w:val="Table Grid"/>
    <w:basedOn w:val="8"/>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正文文本 (2)"/>
    <w:basedOn w:val="1"/>
    <w:link w:val="12"/>
    <w:unhideWhenUsed/>
    <w:qFormat/>
    <w:uiPriority w:val="99"/>
    <w:pPr>
      <w:shd w:val="clear" w:color="auto" w:fill="FFFFFF"/>
      <w:spacing w:line="240" w:lineRule="atLeast"/>
    </w:pPr>
    <w:rPr>
      <w:rFonts w:hint="eastAsia" w:ascii="微软雅黑" w:hAnsi="微软雅黑" w:eastAsia="微软雅黑"/>
      <w:sz w:val="22"/>
    </w:rPr>
  </w:style>
  <w:style w:type="character" w:customStyle="1" w:styleId="11">
    <w:name w:val="正文文本 (2) + 9 pt"/>
    <w:basedOn w:val="12"/>
    <w:unhideWhenUsed/>
    <w:qFormat/>
    <w:uiPriority w:val="99"/>
    <w:rPr>
      <w:rFonts w:hint="eastAsia"/>
      <w:sz w:val="18"/>
    </w:rPr>
  </w:style>
  <w:style w:type="character" w:customStyle="1" w:styleId="12">
    <w:name w:val="正文文本 (2)_"/>
    <w:basedOn w:val="7"/>
    <w:link w:val="10"/>
    <w:unhideWhenUsed/>
    <w:qFormat/>
    <w:uiPriority w:val="99"/>
    <w:rPr>
      <w:rFonts w:hint="eastAsia" w:ascii="微软雅黑" w:hAnsi="微软雅黑" w:eastAsia="微软雅黑"/>
      <w:sz w:val="22"/>
    </w:rPr>
  </w:style>
  <w:style w:type="character" w:customStyle="1" w:styleId="13">
    <w:name w:val="正文文本 (2) + 8 pt"/>
    <w:basedOn w:val="12"/>
    <w:unhideWhenUsed/>
    <w:qFormat/>
    <w:uiPriority w:val="99"/>
    <w:rPr>
      <w:rFonts w:hint="eastAsia"/>
      <w:i/>
      <w:sz w:val="16"/>
    </w:rPr>
  </w:style>
  <w:style w:type="character" w:customStyle="1" w:styleId="14">
    <w:name w:val="页眉 Char"/>
    <w:basedOn w:val="7"/>
    <w:link w:val="5"/>
    <w:qFormat/>
    <w:uiPriority w:val="0"/>
    <w:rPr>
      <w:rFonts w:asciiTheme="minorHAnsi" w:hAnsiTheme="minorHAnsi" w:eastAsiaTheme="minorEastAsia" w:cstheme="minorBidi"/>
      <w:kern w:val="2"/>
      <w:sz w:val="18"/>
      <w:szCs w:val="18"/>
    </w:rPr>
  </w:style>
  <w:style w:type="character" w:customStyle="1" w:styleId="15">
    <w:name w:val="页脚 Char"/>
    <w:basedOn w:val="7"/>
    <w:link w:val="4"/>
    <w:qFormat/>
    <w:uiPriority w:val="0"/>
    <w:rPr>
      <w:rFonts w:asciiTheme="minorHAnsi" w:hAnsiTheme="minorHAnsi" w:eastAsiaTheme="minorEastAsia" w:cstheme="minorBidi"/>
      <w:kern w:val="2"/>
      <w:sz w:val="18"/>
      <w:szCs w:val="18"/>
    </w:rPr>
  </w:style>
  <w:style w:type="character" w:customStyle="1" w:styleId="16">
    <w:name w:val="批注框文本 Char"/>
    <w:basedOn w:val="7"/>
    <w:link w:val="3"/>
    <w:qFormat/>
    <w:uiPriority w:val="0"/>
    <w:rPr>
      <w:rFonts w:asciiTheme="minorHAnsi" w:hAnsiTheme="minorHAnsi" w:eastAsiaTheme="minorEastAsia" w:cstheme="minorBidi"/>
      <w:kern w:val="2"/>
      <w:sz w:val="18"/>
      <w:szCs w:val="18"/>
    </w:rPr>
  </w:style>
  <w:style w:type="paragraph" w:customStyle="1" w:styleId="1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1549</Words>
  <Characters>8832</Characters>
  <Lines>73</Lines>
  <Paragraphs>20</Paragraphs>
  <TotalTime>34</TotalTime>
  <ScaleCrop>false</ScaleCrop>
  <LinksUpToDate>false</LinksUpToDate>
  <CharactersWithSpaces>10361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CElLphOne1410334876</cp:lastModifiedBy>
  <cp:lastPrinted>2019-05-20T02:24:00Z</cp:lastPrinted>
  <dcterms:modified xsi:type="dcterms:W3CDTF">2019-05-23T02:40:52Z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