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90" w:lineRule="atLeas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widowControl/>
        <w:shd w:val="clear" w:color="auto" w:fill="FFFFFF"/>
        <w:adjustRightInd w:val="0"/>
        <w:snapToGrid w:val="0"/>
        <w:spacing w:line="600" w:lineRule="atLeas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2015、2017、2018年度国家知识产权</w:t>
      </w:r>
    </w:p>
    <w:p>
      <w:pPr>
        <w:widowControl/>
        <w:shd w:val="clear" w:color="auto" w:fill="FFFFFF"/>
        <w:adjustRightInd w:val="0"/>
        <w:snapToGrid w:val="0"/>
        <w:spacing w:line="600" w:lineRule="atLeast"/>
        <w:jc w:val="center"/>
        <w:rPr>
          <w:rFonts w:hint="eastAsia"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示范企业和优势企业名单（需参加考核）</w:t>
      </w:r>
    </w:p>
    <w:p>
      <w:pPr>
        <w:widowControl/>
        <w:shd w:val="clear" w:color="auto" w:fill="FFFFFF"/>
        <w:spacing w:line="390" w:lineRule="atLeast"/>
        <w:jc w:val="left"/>
        <w:rPr>
          <w:rFonts w:hint="eastAsia" w:ascii="宋体" w:hAnsi="宋体" w:cs="宋体"/>
          <w:color w:val="000000"/>
          <w:sz w:val="32"/>
          <w:szCs w:val="32"/>
        </w:rPr>
      </w:pP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一、示范企业</w:t>
      </w:r>
    </w:p>
    <w:p>
      <w:pPr>
        <w:widowControl/>
        <w:shd w:val="clear" w:color="auto" w:fill="FFFFFF"/>
        <w:spacing w:line="39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1.宇龙计算机通信科技（深圳）有限公司（2015）</w:t>
      </w:r>
    </w:p>
    <w:p>
      <w:pPr>
        <w:widowControl/>
        <w:shd w:val="clear" w:color="auto" w:fill="FFFFFF"/>
        <w:spacing w:line="39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2.深圳华大基因科技有限公司（2017）</w:t>
      </w:r>
    </w:p>
    <w:p>
      <w:pPr>
        <w:widowControl/>
        <w:shd w:val="clear" w:color="auto" w:fill="FFFFFF"/>
        <w:spacing w:line="390" w:lineRule="atLeast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 xml:space="preserve">    3.深圳超多维光电子有限公司（2017）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4.深圳市华星光电技术有限公司（2018）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5.深圳市绎立锐光科技开发有限公司（2018）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6.研祥智能科技股份有限公司（2018）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二、优势企业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1.中广核工程有限公司（2015）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2.深圳光启创新技术有限公司（2015）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3.深圳市金溢科技股份有限公司（2017）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4.深圳创维数字技术有限公司（2017）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5.深圳市光峰光电技术有限公司（2017）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6.健康元药业集团股份有限公司（2017）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7.深圳市易特科信息技术有限公司（2017）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8.深圳中集天达空港设备有限公司（2018）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9.深圳市大疆创新科技有限公司（2018）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10.深圳翰宇药业股份有限公司（2018）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11.中建钢构有限公司（2018）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12.深圳市星源材质科技股份有限公司（2018）</w:t>
      </w:r>
    </w:p>
    <w:p>
      <w:pPr>
        <w:widowControl/>
        <w:shd w:val="clear" w:color="auto" w:fill="FFFFFF"/>
        <w:spacing w:line="390" w:lineRule="atLeast"/>
        <w:ind w:firstLine="640" w:firstLineChars="200"/>
        <w:jc w:val="left"/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333333"/>
          <w:kern w:val="0"/>
          <w:sz w:val="32"/>
          <w:szCs w:val="32"/>
        </w:rPr>
        <w:t>13.深圳怡化电脑股份有限公司（2018）</w:t>
      </w:r>
    </w:p>
    <w:p>
      <w:pPr>
        <w:widowControl/>
        <w:shd w:val="clear" w:color="auto" w:fill="FFFFFF"/>
        <w:spacing w:line="390" w:lineRule="atLeast"/>
        <w:rPr>
          <w:rFonts w:hint="eastAsia" w:ascii="仿宋_GB2312" w:eastAsia="仿宋_GB2312"/>
          <w:sz w:val="32"/>
          <w:szCs w:val="32"/>
        </w:rPr>
      </w:pPr>
    </w:p>
    <w:p>
      <w:r>
        <w:rPr>
          <w:rFonts w:hint="eastAsia" w:ascii="仿宋_GB2312" w:eastAsia="仿宋_GB2312"/>
          <w:sz w:val="32"/>
          <w:szCs w:val="32"/>
        </w:rPr>
        <w:br w:type="page"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0E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chenjj5</dc:creator>
  <cp:lastModifiedBy>Chanho</cp:lastModifiedBy>
  <dcterms:modified xsi:type="dcterms:W3CDTF">2019-07-05T01:28:13Z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