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B3" w:rsidRDefault="007868B3" w:rsidP="007868B3">
      <w:pPr>
        <w:spacing w:line="60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附件3</w:t>
      </w:r>
    </w:p>
    <w:p w:rsidR="007868B3" w:rsidRDefault="007868B3" w:rsidP="007868B3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动漫企业享受税收优惠情况汇总表</w:t>
      </w:r>
    </w:p>
    <w:p w:rsidR="007868B3" w:rsidRDefault="007868B3" w:rsidP="007868B3">
      <w:pPr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  <w:u w:val="single"/>
        </w:rPr>
        <w:t xml:space="preserve">           </w:t>
      </w:r>
      <w:r>
        <w:rPr>
          <w:rFonts w:ascii="楷体_GB2312" w:eastAsia="楷体_GB2312" w:hAnsi="楷体_GB2312" w:cs="楷体_GB2312" w:hint="eastAsia"/>
        </w:rPr>
        <w:t>省（区、市）文化和旅游厅（局）（盖章）                       单位：万元</w:t>
      </w:r>
    </w:p>
    <w:tbl>
      <w:tblPr>
        <w:tblW w:w="0" w:type="auto"/>
        <w:tblInd w:w="-3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644"/>
        <w:gridCol w:w="3118"/>
        <w:gridCol w:w="1253"/>
        <w:gridCol w:w="984"/>
        <w:gridCol w:w="987"/>
        <w:gridCol w:w="1171"/>
        <w:gridCol w:w="1171"/>
        <w:gridCol w:w="1168"/>
        <w:gridCol w:w="1151"/>
      </w:tblGrid>
      <w:tr w:rsidR="007868B3" w:rsidTr="004103A2">
        <w:trPr>
          <w:trHeight w:val="317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企业性质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7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2018年</w:t>
            </w:r>
          </w:p>
        </w:tc>
      </w:tr>
      <w:tr w:rsidR="007868B3" w:rsidTr="004103A2">
        <w:trPr>
          <w:trHeight w:hRule="exact" w:val="51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营业收入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利润额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纳税额</w:t>
            </w:r>
          </w:p>
        </w:tc>
        <w:tc>
          <w:tcPr>
            <w:tcW w:w="4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减免税收金额</w:t>
            </w:r>
          </w:p>
        </w:tc>
      </w:tr>
      <w:tr w:rsidR="007868B3" w:rsidTr="004103A2">
        <w:trPr>
          <w:trHeight w:val="499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增值税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所得税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销售动漫软件增值税退税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动漫软件出口增值税免税</w:t>
            </w:r>
          </w:p>
        </w:tc>
      </w:tr>
      <w:tr w:rsidR="007868B3" w:rsidTr="004103A2">
        <w:trPr>
          <w:trHeight w:hRule="exact" w:val="51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重点动漫企业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</w:p>
        </w:tc>
      </w:tr>
      <w:tr w:rsidR="007868B3" w:rsidTr="004103A2">
        <w:trPr>
          <w:trHeight w:hRule="exact" w:val="51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jc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7868B3" w:rsidTr="004103A2">
        <w:trPr>
          <w:trHeight w:hRule="exact" w:val="51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jc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7868B3" w:rsidTr="004103A2">
        <w:trPr>
          <w:trHeight w:hRule="exact" w:val="510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重点动漫企业总计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</w:tr>
      <w:tr w:rsidR="007868B3" w:rsidTr="004103A2">
        <w:trPr>
          <w:trHeight w:hRule="exact" w:val="51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非重点动漫企业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7868B3" w:rsidTr="004103A2">
        <w:trPr>
          <w:trHeight w:hRule="exact" w:val="51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jc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7868B3" w:rsidTr="004103A2">
        <w:trPr>
          <w:trHeight w:hRule="exact" w:val="51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jc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7868B3" w:rsidTr="004103A2">
        <w:trPr>
          <w:trHeight w:hRule="exact" w:val="510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非重点动漫企业总计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</w:tr>
      <w:tr w:rsidR="007868B3" w:rsidTr="004103A2">
        <w:trPr>
          <w:trHeight w:hRule="exact" w:val="510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B3" w:rsidRDefault="007868B3" w:rsidP="004103A2">
            <w:pP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</w:tr>
    </w:tbl>
    <w:p w:rsidR="00745062" w:rsidRDefault="00745062">
      <w:pPr>
        <w:rPr>
          <w:rFonts w:hint="eastAsia"/>
        </w:rPr>
      </w:pPr>
      <w:bookmarkStart w:id="0" w:name="_GoBack"/>
      <w:bookmarkEnd w:id="0"/>
    </w:p>
    <w:sectPr w:rsidR="00745062">
      <w:pgSz w:w="16838" w:h="11906" w:orient="landscape"/>
      <w:pgMar w:top="1531" w:right="2098" w:bottom="1531" w:left="1701" w:header="851" w:footer="992" w:gutter="0"/>
      <w:cols w:space="720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B3"/>
    <w:rsid w:val="00745062"/>
    <w:rsid w:val="0078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1454"/>
  <w15:chartTrackingRefBased/>
  <w15:docId w15:val="{6B30258B-0F34-454C-81F6-7D09B58D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B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86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masiwei</cp:lastModifiedBy>
  <cp:revision>1</cp:revision>
  <dcterms:created xsi:type="dcterms:W3CDTF">2019-07-30T10:36:00Z</dcterms:created>
  <dcterms:modified xsi:type="dcterms:W3CDTF">2019-07-30T10:36:00Z</dcterms:modified>
</cp:coreProperties>
</file>