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olor w:val="000000" w:themeColor="text1"/>
          <w:sz w:val="44"/>
          <w:szCs w:val="44"/>
        </w:rPr>
      </w:pPr>
      <w:r>
        <w:rPr>
          <w:rFonts w:hint="eastAsia" w:asciiTheme="majorEastAsia" w:hAnsiTheme="majorEastAsia" w:eastAsiaTheme="majorEastAsia"/>
          <w:color w:val="000000" w:themeColor="text1"/>
          <w:sz w:val="44"/>
          <w:szCs w:val="44"/>
        </w:rPr>
        <w:t>创业人才生活补贴资助操作规程</w:t>
      </w:r>
    </w:p>
    <w:p>
      <w:pPr>
        <w:rPr>
          <w:rFonts w:ascii="仿宋_GB2312" w:hAnsi="仿宋" w:eastAsia="仿宋_GB2312"/>
          <w:color w:val="000000" w:themeColor="text1"/>
          <w:sz w:val="32"/>
          <w:szCs w:val="32"/>
        </w:rPr>
      </w:pPr>
    </w:p>
    <w:p>
      <w:pPr>
        <w:snapToGrid w:val="0"/>
        <w:spacing w:line="520" w:lineRule="atLeast"/>
        <w:ind w:firstLine="640" w:firstLineChars="200"/>
        <w:rPr>
          <w:rFonts w:ascii="黑体" w:hAnsi="黑体" w:eastAsia="黑体"/>
          <w:sz w:val="32"/>
          <w:szCs w:val="32"/>
        </w:rPr>
      </w:pPr>
      <w:r>
        <w:rPr>
          <w:rFonts w:hint="eastAsia" w:ascii="黑体" w:hAnsi="黑体" w:eastAsia="黑体"/>
          <w:sz w:val="32"/>
          <w:szCs w:val="32"/>
        </w:rPr>
        <w:t>一、资助内容</w:t>
      </w:r>
    </w:p>
    <w:p>
      <w:pPr>
        <w:snapToGrid w:val="0"/>
        <w:spacing w:line="520" w:lineRule="atLeas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对战略性新兴产业和未来产业中的创业的优秀人才给予生活补贴资助。</w:t>
      </w:r>
    </w:p>
    <w:p>
      <w:pPr>
        <w:snapToGrid w:val="0"/>
        <w:spacing w:line="520" w:lineRule="atLeast"/>
        <w:ind w:firstLine="640" w:firstLineChars="200"/>
        <w:rPr>
          <w:rFonts w:ascii="黑体" w:hAnsi="黑体" w:eastAsia="黑体"/>
          <w:sz w:val="32"/>
          <w:szCs w:val="32"/>
        </w:rPr>
      </w:pPr>
      <w:r>
        <w:rPr>
          <w:rFonts w:hint="eastAsia" w:ascii="黑体" w:hAnsi="黑体" w:eastAsia="黑体"/>
          <w:sz w:val="32"/>
          <w:szCs w:val="32"/>
        </w:rPr>
        <w:t>二、资助额度及方式</w:t>
      </w:r>
    </w:p>
    <w:p>
      <w:pPr>
        <w:snapToGrid w:val="0"/>
        <w:spacing w:line="520" w:lineRule="atLeast"/>
        <w:ind w:firstLine="640" w:firstLineChars="200"/>
        <w:rPr>
          <w:rFonts w:ascii="仿宋_GB2312" w:eastAsia="仿宋_GB2312"/>
          <w:sz w:val="32"/>
          <w:szCs w:val="32"/>
        </w:rPr>
      </w:pPr>
      <w:r>
        <w:rPr>
          <w:rFonts w:hint="eastAsia" w:ascii="仿宋_GB2312" w:hAnsi="仿宋" w:eastAsia="仿宋_GB2312"/>
          <w:color w:val="000000" w:themeColor="text1"/>
          <w:kern w:val="0"/>
          <w:sz w:val="32"/>
          <w:szCs w:val="32"/>
        </w:rPr>
        <w:t>给予每人每年最高2万元最长3年期的生活补贴。</w:t>
      </w:r>
      <w:r>
        <w:rPr>
          <w:rFonts w:hint="eastAsia" w:ascii="仿宋_GB2312" w:eastAsia="仿宋_GB2312"/>
          <w:sz w:val="32"/>
          <w:szCs w:val="32"/>
        </w:rPr>
        <w:t>本项资助属于审核类，采取无偿资助方式。</w:t>
      </w:r>
    </w:p>
    <w:p>
      <w:pPr>
        <w:snapToGrid w:val="0"/>
        <w:spacing w:line="520" w:lineRule="atLeast"/>
        <w:ind w:firstLine="640" w:firstLineChars="200"/>
        <w:rPr>
          <w:rFonts w:ascii="黑体" w:hAnsi="黑体" w:eastAsia="黑体"/>
          <w:sz w:val="32"/>
          <w:szCs w:val="32"/>
        </w:rPr>
      </w:pPr>
      <w:r>
        <w:rPr>
          <w:rFonts w:hint="eastAsia" w:ascii="黑体" w:hAnsi="黑体" w:eastAsia="黑体"/>
          <w:sz w:val="32"/>
          <w:szCs w:val="32"/>
        </w:rPr>
        <w:t>三、申请条件</w:t>
      </w:r>
    </w:p>
    <w:p>
      <w:pPr>
        <w:snapToGrid w:val="0"/>
        <w:spacing w:line="520" w:lineRule="atLeast"/>
        <w:ind w:firstLine="640" w:firstLineChars="200"/>
        <w:rPr>
          <w:rFonts w:ascii="仿宋_GB2312" w:hAnsi="仿宋" w:eastAsia="仿宋_GB2312"/>
          <w:color w:val="000000" w:themeColor="text1"/>
          <w:kern w:val="0"/>
          <w:sz w:val="32"/>
          <w:szCs w:val="32"/>
        </w:rPr>
      </w:pPr>
      <w:r>
        <w:rPr>
          <w:rFonts w:hint="eastAsia" w:ascii="仿宋_GB2312" w:eastAsia="仿宋_GB2312"/>
          <w:sz w:val="32"/>
          <w:szCs w:val="32"/>
        </w:rPr>
        <w:t>1.申请人创办的企业属</w:t>
      </w:r>
      <w:r>
        <w:rPr>
          <w:rFonts w:hint="eastAsia" w:ascii="仿宋_GB2312" w:hAnsi="仿宋" w:eastAsia="仿宋_GB2312"/>
          <w:color w:val="000000" w:themeColor="text1"/>
          <w:kern w:val="0"/>
          <w:sz w:val="32"/>
          <w:szCs w:val="32"/>
        </w:rPr>
        <w:t>战略性新兴产业（节能环保产业，生物产业，新能源产业，互联网产业，新材料产业，新一代信息技术产业）和未来产业（生命健康产业，机器人产业，海洋产业，航空航天产业，智能装备产业，可穿戴设备产业），在南山区注册且实际经营场所位于南山区；</w:t>
      </w:r>
    </w:p>
    <w:p>
      <w:pPr>
        <w:snapToGrid w:val="0"/>
        <w:spacing w:line="520" w:lineRule="atLeas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2.企业注册时间在3年内，拥有至少一项发明专利授权；</w:t>
      </w:r>
    </w:p>
    <w:p>
      <w:pPr>
        <w:snapToGrid w:val="0"/>
        <w:spacing w:line="520" w:lineRule="atLeast"/>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rPr>
        <w:t>3.申请人实际入股资本达到30万元</w:t>
      </w:r>
      <w:r>
        <w:rPr>
          <w:rFonts w:hint="eastAsia" w:ascii="仿宋_GB2312" w:eastAsia="仿宋_GB2312"/>
          <w:color w:val="auto"/>
          <w:sz w:val="32"/>
          <w:szCs w:val="32"/>
        </w:rPr>
        <w:t>（验资报告、银行凭证）</w:t>
      </w:r>
      <w:r>
        <w:rPr>
          <w:rFonts w:hint="eastAsia" w:ascii="仿宋_GB2312" w:eastAsia="仿宋_GB2312"/>
          <w:color w:val="auto"/>
          <w:sz w:val="32"/>
          <w:szCs w:val="32"/>
          <w:lang w:val="en-US" w:eastAsia="zh-CN"/>
        </w:rPr>
        <w:t>;</w:t>
      </w:r>
    </w:p>
    <w:p>
      <w:pPr>
        <w:snapToGrid w:val="0"/>
        <w:spacing w:line="520" w:lineRule="atLeast"/>
        <w:ind w:firstLine="640" w:firstLineChars="200"/>
        <w:rPr>
          <w:rFonts w:ascii="仿宋_GB2312" w:hAnsi="仿宋" w:eastAsia="仿宋_GB2312"/>
          <w:color w:val="000000" w:themeColor="text1"/>
          <w:kern w:val="0"/>
          <w:sz w:val="32"/>
          <w:szCs w:val="32"/>
        </w:rPr>
      </w:pPr>
      <w:r>
        <w:rPr>
          <w:rFonts w:hint="eastAsia" w:ascii="仿宋_GB2312" w:eastAsia="仿宋_GB2312"/>
          <w:sz w:val="32"/>
          <w:szCs w:val="32"/>
        </w:rPr>
        <w:t>4.</w:t>
      </w:r>
      <w:r>
        <w:rPr>
          <w:rFonts w:hint="eastAsia" w:ascii="仿宋_GB2312" w:hAnsi="仿宋" w:eastAsia="仿宋_GB2312"/>
          <w:color w:val="000000" w:themeColor="text1"/>
          <w:kern w:val="0"/>
          <w:sz w:val="32"/>
          <w:szCs w:val="32"/>
        </w:rPr>
        <w:t>企业连续6个月人员规模达到5人以上；</w:t>
      </w:r>
    </w:p>
    <w:p>
      <w:pPr>
        <w:snapToGrid w:val="0"/>
        <w:spacing w:line="520" w:lineRule="atLeas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5.满足上述条件时申请人可连续申请最长3年资助。</w:t>
      </w:r>
    </w:p>
    <w:p>
      <w:pPr>
        <w:snapToGrid w:val="0"/>
        <w:spacing w:line="520" w:lineRule="atLeast"/>
        <w:ind w:firstLine="640" w:firstLineChars="200"/>
        <w:rPr>
          <w:rFonts w:ascii="黑体" w:hAnsi="黑体" w:eastAsia="黑体"/>
          <w:sz w:val="32"/>
          <w:szCs w:val="32"/>
        </w:rPr>
      </w:pPr>
      <w:r>
        <w:rPr>
          <w:rFonts w:hint="eastAsia" w:ascii="黑体" w:hAnsi="黑体" w:eastAsia="黑体"/>
          <w:sz w:val="32"/>
          <w:szCs w:val="32"/>
        </w:rPr>
        <w:t>四、申请材料</w:t>
      </w:r>
    </w:p>
    <w:p>
      <w:pPr>
        <w:snapToGrid w:val="0"/>
        <w:spacing w:line="520" w:lineRule="atLeast"/>
        <w:ind w:firstLine="640" w:firstLineChars="200"/>
        <w:rPr>
          <w:rFonts w:ascii="仿宋_GB2312" w:hAnsi="仿宋" w:eastAsia="仿宋_GB2312"/>
          <w:sz w:val="32"/>
          <w:szCs w:val="32"/>
        </w:rPr>
      </w:pPr>
      <w:r>
        <w:rPr>
          <w:rFonts w:hint="eastAsia" w:ascii="仿宋_GB2312" w:hAnsi="仿宋" w:eastAsia="仿宋_GB2312"/>
          <w:sz w:val="32"/>
          <w:szCs w:val="32"/>
        </w:rPr>
        <w:t>（1）创业人才生活补贴申请表（登陆</w:t>
      </w:r>
      <w:r>
        <w:fldChar w:fldCharType="begin"/>
      </w:r>
      <w:r>
        <w:instrText xml:space="preserve"> HYPERLINK "http://sfms.szns.gov.cn/egrantweb/" </w:instrText>
      </w:r>
      <w:r>
        <w:fldChar w:fldCharType="separate"/>
      </w:r>
      <w:r>
        <w:rPr>
          <w:rStyle w:val="5"/>
          <w:rFonts w:ascii="仿宋_GB2312" w:hAnsi="仿宋" w:eastAsia="仿宋_GB2312"/>
          <w:sz w:val="32"/>
          <w:szCs w:val="32"/>
        </w:rPr>
        <w:t>http://sfms.szns.gov.cn/</w:t>
      </w:r>
      <w:r>
        <w:rPr>
          <w:rStyle w:val="5"/>
          <w:rFonts w:ascii="仿宋_GB2312" w:hAnsi="仿宋" w:eastAsia="仿宋_GB2312"/>
          <w:sz w:val="32"/>
          <w:szCs w:val="32"/>
        </w:rPr>
        <w:fldChar w:fldCharType="end"/>
      </w:r>
      <w:r>
        <w:rPr>
          <w:rFonts w:hint="eastAsia" w:ascii="仿宋_GB2312" w:eastAsia="仿宋_GB2312"/>
          <w:sz w:val="32"/>
          <w:szCs w:val="32"/>
        </w:rPr>
        <w:t>完成在线填报，申请书生成PDF文件在线打印后胶装并加盖单位公章</w:t>
      </w:r>
      <w:r>
        <w:rPr>
          <w:rFonts w:hint="eastAsia" w:ascii="仿宋_GB2312" w:hAnsi="仿宋" w:eastAsia="仿宋_GB2312"/>
          <w:sz w:val="32"/>
          <w:szCs w:val="32"/>
        </w:rPr>
        <w:t>）；</w:t>
      </w:r>
    </w:p>
    <w:p>
      <w:pPr>
        <w:snapToGrid w:val="0"/>
        <w:spacing w:line="520" w:lineRule="atLeast"/>
        <w:ind w:firstLine="640" w:firstLineChars="200"/>
        <w:rPr>
          <w:rFonts w:ascii="仿宋_GB2312" w:hAnsi="仿宋" w:eastAsia="仿宋_GB2312"/>
          <w:sz w:val="32"/>
          <w:szCs w:val="32"/>
        </w:rPr>
      </w:pPr>
      <w:r>
        <w:rPr>
          <w:rFonts w:hint="eastAsia" w:ascii="仿宋_GB2312" w:hAnsi="仿宋" w:eastAsia="仿宋_GB2312"/>
          <w:sz w:val="32"/>
          <w:szCs w:val="32"/>
        </w:rPr>
        <w:t>（2）企业营业执照（验原件，复印件加盖单位公章）；</w:t>
      </w:r>
    </w:p>
    <w:p>
      <w:pPr>
        <w:snapToGrid w:val="0"/>
        <w:spacing w:line="520" w:lineRule="atLeas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hAnsi="宋体" w:eastAsia="仿宋_GB2312"/>
          <w:sz w:val="32"/>
          <w:szCs w:val="32"/>
        </w:rPr>
        <w:t>上年度和本年度至申报日上月国、地税纳税证明（加盖单位公章）</w:t>
      </w:r>
      <w:r>
        <w:rPr>
          <w:rFonts w:hint="eastAsia" w:ascii="仿宋_GB2312" w:hAnsi="仿宋" w:eastAsia="仿宋_GB2312"/>
          <w:sz w:val="32"/>
          <w:szCs w:val="32"/>
        </w:rPr>
        <w:t>；</w:t>
      </w:r>
    </w:p>
    <w:p>
      <w:pPr>
        <w:snapToGrid w:val="0"/>
        <w:spacing w:line="520" w:lineRule="atLeast"/>
        <w:ind w:firstLine="640" w:firstLineChars="200"/>
        <w:rPr>
          <w:rFonts w:hint="eastAsia" w:ascii="仿宋_GB2312" w:hAnsi="仿宋" w:eastAsia="仿宋_GB2312"/>
          <w:color w:val="FF0000"/>
          <w:sz w:val="32"/>
          <w:szCs w:val="32"/>
          <w:lang w:eastAsia="zh-CN"/>
        </w:rPr>
      </w:pPr>
      <w:r>
        <w:rPr>
          <w:rFonts w:hint="eastAsia" w:ascii="仿宋_GB2312" w:hAnsi="仿宋" w:eastAsia="仿宋_GB2312"/>
          <w:sz w:val="32"/>
          <w:szCs w:val="32"/>
        </w:rPr>
        <w:t>（4）法定代表人身份证复印件（验原件，复印件加盖单位公章）</w:t>
      </w:r>
      <w:r>
        <w:rPr>
          <w:rFonts w:hint="eastAsia" w:ascii="仿宋_GB2312" w:hAnsi="仿宋" w:eastAsia="仿宋_GB2312"/>
          <w:sz w:val="32"/>
          <w:szCs w:val="32"/>
          <w:lang w:eastAsia="zh-CN"/>
        </w:rPr>
        <w:t>、</w:t>
      </w:r>
      <w:r>
        <w:rPr>
          <w:rFonts w:hint="eastAsia" w:ascii="仿宋_GB2312" w:hAnsi="仿宋" w:eastAsia="仿宋_GB2312"/>
          <w:color w:val="auto"/>
          <w:sz w:val="32"/>
          <w:szCs w:val="32"/>
        </w:rPr>
        <w:t>申报人身份证件材料</w:t>
      </w:r>
      <w:r>
        <w:rPr>
          <w:rFonts w:hint="eastAsia" w:ascii="仿宋_GB2312" w:hAnsi="仿宋" w:eastAsia="仿宋_GB2312"/>
          <w:color w:val="auto"/>
          <w:sz w:val="32"/>
          <w:szCs w:val="32"/>
          <w:lang w:eastAsia="zh-CN"/>
        </w:rPr>
        <w:t>；</w:t>
      </w:r>
    </w:p>
    <w:p>
      <w:pPr>
        <w:pStyle w:val="9"/>
        <w:snapToGrid w:val="0"/>
        <w:spacing w:line="520" w:lineRule="atLeas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（5）连续6个月企业缴纳员工社保证明；</w:t>
      </w:r>
    </w:p>
    <w:p>
      <w:pPr>
        <w:pStyle w:val="9"/>
        <w:snapToGrid w:val="0"/>
        <w:spacing w:line="520" w:lineRule="atLeas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（6）发明专利授权证书；</w:t>
      </w:r>
    </w:p>
    <w:p>
      <w:pPr>
        <w:pStyle w:val="9"/>
        <w:snapToGrid w:val="0"/>
        <w:spacing w:line="520" w:lineRule="atLeast"/>
        <w:ind w:firstLine="707" w:firstLineChars="221"/>
        <w:rPr>
          <w:rFonts w:ascii="仿宋_GB2312" w:hAnsi="宋体" w:eastAsia="仿宋_GB2312"/>
          <w:color w:val="auto"/>
          <w:sz w:val="32"/>
          <w:szCs w:val="32"/>
          <w:lang w:eastAsia="zh-CN"/>
        </w:rPr>
      </w:pPr>
      <w:r>
        <w:rPr>
          <w:rFonts w:hint="eastAsia" w:ascii="仿宋_GB2312" w:hAnsi="宋体" w:eastAsia="仿宋_GB2312"/>
          <w:sz w:val="32"/>
          <w:szCs w:val="32"/>
          <w:lang w:eastAsia="zh-CN"/>
        </w:rPr>
        <w:t>（7）申报单位实际经营场地证明（租赁合同、近6个月水电费单据、管理费单据等）；</w:t>
      </w:r>
      <w:r>
        <w:rPr>
          <w:rFonts w:hint="eastAsia" w:ascii="仿宋_GB2312" w:hAnsi="宋体" w:eastAsia="仿宋_GB2312"/>
          <w:color w:val="auto"/>
          <w:sz w:val="32"/>
          <w:szCs w:val="32"/>
          <w:lang w:eastAsia="zh-CN"/>
        </w:rPr>
        <w:t>（辅助证明材料：任职证明或劳动合同、</w:t>
      </w:r>
      <w:r>
        <w:rPr>
          <w:rFonts w:hint="eastAsia" w:ascii="仿宋_GB2312" w:eastAsia="仿宋_GB2312"/>
          <w:color w:val="auto"/>
          <w:sz w:val="32"/>
          <w:szCs w:val="32"/>
          <w:lang w:eastAsia="zh-CN"/>
        </w:rPr>
        <w:t>验资报告、银行凭证等</w:t>
      </w:r>
      <w:r>
        <w:rPr>
          <w:rFonts w:hint="eastAsia" w:ascii="仿宋_GB2312" w:hAnsi="宋体" w:eastAsia="仿宋_GB2312"/>
          <w:color w:val="auto"/>
          <w:sz w:val="32"/>
          <w:szCs w:val="32"/>
          <w:lang w:eastAsia="zh-CN"/>
        </w:rPr>
        <w:t>）</w:t>
      </w:r>
    </w:p>
    <w:p>
      <w:pPr>
        <w:pStyle w:val="9"/>
        <w:snapToGrid w:val="0"/>
        <w:spacing w:line="520" w:lineRule="atLeast"/>
        <w:ind w:firstLine="707" w:firstLineChars="221"/>
        <w:rPr>
          <w:rFonts w:ascii="仿宋_GB2312" w:hAnsi="宋体" w:eastAsia="仿宋_GB2312"/>
          <w:sz w:val="32"/>
          <w:szCs w:val="32"/>
          <w:lang w:eastAsia="zh-CN"/>
        </w:rPr>
      </w:pPr>
      <w:r>
        <w:rPr>
          <w:rFonts w:hint="eastAsia" w:ascii="仿宋_GB2312" w:hAnsi="宋体" w:eastAsia="仿宋_GB2312"/>
          <w:sz w:val="32"/>
          <w:szCs w:val="32"/>
          <w:lang w:eastAsia="zh-CN"/>
        </w:rPr>
        <w:t>（8）单位承诺书。</w:t>
      </w:r>
    </w:p>
    <w:p>
      <w:pPr>
        <w:snapToGrid w:val="0"/>
        <w:spacing w:line="520" w:lineRule="atLeast"/>
        <w:ind w:firstLine="640" w:firstLineChars="200"/>
        <w:rPr>
          <w:rFonts w:ascii="黑体" w:hAnsi="黑体" w:eastAsia="黑体"/>
          <w:sz w:val="32"/>
          <w:szCs w:val="32"/>
        </w:rPr>
      </w:pPr>
      <w:r>
        <w:rPr>
          <w:rFonts w:hint="eastAsia" w:ascii="黑体" w:hAnsi="黑体" w:eastAsia="黑体"/>
          <w:sz w:val="32"/>
          <w:szCs w:val="32"/>
        </w:rPr>
        <w:t>五、办理流程</w:t>
      </w:r>
      <w:bookmarkStart w:id="0" w:name="_GoBack"/>
      <w:bookmarkEnd w:id="0"/>
    </w:p>
    <w:p>
      <w:pPr>
        <w:pStyle w:val="9"/>
        <w:spacing w:line="520" w:lineRule="exact"/>
        <w:ind w:firstLine="704" w:firstLineChars="220"/>
        <w:rPr>
          <w:rFonts w:ascii="仿宋_GB2312" w:hAnsi="宋体" w:eastAsia="仿宋_GB2312"/>
          <w:sz w:val="32"/>
          <w:szCs w:val="32"/>
        </w:rPr>
      </w:pPr>
      <w:r>
        <w:rPr>
          <w:rFonts w:hint="eastAsia" w:ascii="仿宋_GB2312" w:hAnsi="宋体" w:eastAsia="仿宋_GB2312"/>
          <w:sz w:val="32"/>
          <w:szCs w:val="32"/>
        </w:rPr>
        <w:t>（1）申请单位</w:t>
      </w:r>
      <w:r>
        <w:rPr>
          <w:rFonts w:hint="eastAsia" w:ascii="仿宋_GB2312" w:hAnsi="宋体" w:eastAsia="仿宋_GB2312"/>
          <w:sz w:val="32"/>
          <w:szCs w:val="32"/>
          <w:lang w:eastAsia="zh-CN"/>
        </w:rPr>
        <w:t>备齐资料，</w:t>
      </w:r>
      <w:r>
        <w:rPr>
          <w:rFonts w:hint="eastAsia" w:ascii="仿宋_GB2312" w:hAnsi="宋体" w:eastAsia="仿宋_GB2312"/>
          <w:sz w:val="32"/>
          <w:szCs w:val="32"/>
        </w:rPr>
        <w:t>在南山区产业发展综合服务平台（http://sfms.szns.gov.cn/）在线完成项目申请书填报及扫描上传所需材料；</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（2）申报单位在规定时间内到指定窗口递交纸质版材料，区企服中心审核申请材料，并在线告知受理结果，需补交资料的按时限提交；</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（3）区人资局依专项资金审批流程进行核准，报区财政部门复核并由市场监管部门、统计部门对企业注册情况、企业在地统计开展情况进行核查；</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（4）在区政府相关网站公示5个工作日；</w:t>
      </w:r>
      <w:r>
        <w:rPr>
          <w:rFonts w:ascii="仿宋_GB2312" w:hAnsi="宋体" w:eastAsia="仿宋_GB2312"/>
          <w:sz w:val="32"/>
          <w:szCs w:val="32"/>
          <w:lang w:eastAsia="zh-CN"/>
        </w:rPr>
        <w:t xml:space="preserve"> </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（5）区专项资金领导小组审定；</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（6）区人资局会同区财政部门联合下达补贴资金资助通知，拨付到项目申报单位账户。</w:t>
      </w:r>
    </w:p>
    <w:p>
      <w:pPr>
        <w:snapToGrid w:val="0"/>
        <w:spacing w:line="520" w:lineRule="atLeast"/>
        <w:ind w:firstLine="640" w:firstLineChars="200"/>
        <w:rPr>
          <w:rFonts w:ascii="黑体" w:hAnsi="黑体" w:eastAsia="黑体"/>
          <w:sz w:val="32"/>
          <w:szCs w:val="32"/>
        </w:rPr>
      </w:pPr>
      <w:r>
        <w:rPr>
          <w:rFonts w:hint="eastAsia" w:ascii="黑体" w:hAnsi="黑体" w:eastAsia="黑体"/>
          <w:sz w:val="32"/>
          <w:szCs w:val="32"/>
        </w:rPr>
        <w:t>六、附则</w:t>
      </w:r>
    </w:p>
    <w:p>
      <w:pPr>
        <w:snapToGrid w:val="0"/>
        <w:spacing w:line="520" w:lineRule="atLeast"/>
        <w:ind w:firstLine="645"/>
        <w:rPr>
          <w:rFonts w:ascii="仿宋_GB2312" w:hAnsi="仿宋" w:eastAsia="仿宋_GB2312"/>
          <w:sz w:val="32"/>
          <w:szCs w:val="32"/>
        </w:rPr>
      </w:pPr>
      <w:r>
        <w:rPr>
          <w:rFonts w:hint="eastAsia" w:ascii="仿宋_GB2312" w:hAnsi="仿宋" w:eastAsia="仿宋_GB2312"/>
          <w:sz w:val="32"/>
          <w:szCs w:val="32"/>
        </w:rPr>
        <w:t>本操作规程由深圳市南山区人力资源局负责解释，自发布之日起实施。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3640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4E63"/>
    <w:rsid w:val="00075EFD"/>
    <w:rsid w:val="00097373"/>
    <w:rsid w:val="000F402D"/>
    <w:rsid w:val="001109BF"/>
    <w:rsid w:val="00157D7E"/>
    <w:rsid w:val="0019463F"/>
    <w:rsid w:val="001A18E1"/>
    <w:rsid w:val="001E4E63"/>
    <w:rsid w:val="00266536"/>
    <w:rsid w:val="002706FD"/>
    <w:rsid w:val="00375718"/>
    <w:rsid w:val="003B6AE2"/>
    <w:rsid w:val="003C40E0"/>
    <w:rsid w:val="003F7A27"/>
    <w:rsid w:val="004037B8"/>
    <w:rsid w:val="004824DE"/>
    <w:rsid w:val="00547A15"/>
    <w:rsid w:val="00583D6D"/>
    <w:rsid w:val="005C6832"/>
    <w:rsid w:val="00623704"/>
    <w:rsid w:val="00654515"/>
    <w:rsid w:val="006B2F32"/>
    <w:rsid w:val="006E26D4"/>
    <w:rsid w:val="006F5301"/>
    <w:rsid w:val="00724FDA"/>
    <w:rsid w:val="007712FF"/>
    <w:rsid w:val="00790679"/>
    <w:rsid w:val="007930EF"/>
    <w:rsid w:val="009112F9"/>
    <w:rsid w:val="009C5325"/>
    <w:rsid w:val="00A051D7"/>
    <w:rsid w:val="00A75BC9"/>
    <w:rsid w:val="00B43BFE"/>
    <w:rsid w:val="00B853F5"/>
    <w:rsid w:val="00BF141A"/>
    <w:rsid w:val="00C0449E"/>
    <w:rsid w:val="00C32237"/>
    <w:rsid w:val="00C84FE6"/>
    <w:rsid w:val="00CB0C26"/>
    <w:rsid w:val="00CC727D"/>
    <w:rsid w:val="00D10434"/>
    <w:rsid w:val="00D605EA"/>
    <w:rsid w:val="00DA7F21"/>
    <w:rsid w:val="00DD1031"/>
    <w:rsid w:val="00E06F6F"/>
    <w:rsid w:val="00E229A8"/>
    <w:rsid w:val="00E61A3B"/>
    <w:rsid w:val="00E61AC8"/>
    <w:rsid w:val="00E73EB0"/>
    <w:rsid w:val="00E85FA8"/>
    <w:rsid w:val="00F3555A"/>
    <w:rsid w:val="00F807B4"/>
    <w:rsid w:val="00FA361A"/>
    <w:rsid w:val="4B95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页眉 Char"/>
    <w:basedOn w:val="4"/>
    <w:link w:val="3"/>
    <w:semiHidden/>
    <w:qFormat/>
    <w:uiPriority w:val="99"/>
    <w:rPr>
      <w:kern w:val="2"/>
      <w:sz w:val="18"/>
      <w:szCs w:val="18"/>
    </w:rPr>
  </w:style>
  <w:style w:type="character" w:customStyle="1" w:styleId="8">
    <w:name w:val="页脚 Char"/>
    <w:basedOn w:val="4"/>
    <w:link w:val="2"/>
    <w:qFormat/>
    <w:uiPriority w:val="99"/>
    <w:rPr>
      <w:kern w:val="2"/>
      <w:sz w:val="18"/>
      <w:szCs w:val="18"/>
    </w:rPr>
  </w:style>
  <w:style w:type="paragraph" w:styleId="9">
    <w:name w:val="No Spacing"/>
    <w:qFormat/>
    <w:uiPriority w:val="1"/>
    <w:rPr>
      <w:rFonts w:ascii="Cambria" w:hAnsi="Cambria"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151</Words>
  <Characters>865</Characters>
  <Lines>7</Lines>
  <Paragraphs>2</Paragraphs>
  <TotalTime>15</TotalTime>
  <ScaleCrop>false</ScaleCrop>
  <LinksUpToDate>false</LinksUpToDate>
  <CharactersWithSpaces>1014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2018-04-03T03:25:00Z</dcterms:created>
  <dc:creator>Administrator</dc:creator>
  <cp:lastModifiedBy>林志豪</cp:lastModifiedBy>
  <dcterms:modified xsi:type="dcterms:W3CDTF">2019-05-07T02:26:43Z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