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Times" w:eastAsia="黑体"/>
          <w:sz w:val="32"/>
          <w:szCs w:val="32"/>
        </w:rPr>
      </w:pPr>
      <w:r>
        <w:rPr>
          <w:rFonts w:hint="eastAsia" w:ascii="黑体" w:hAnsi="Times" w:eastAsia="黑体"/>
          <w:sz w:val="32"/>
          <w:szCs w:val="32"/>
        </w:rPr>
        <w:t>附件2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21</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2"/>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2"/>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2"/>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2"/>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2"/>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2"/>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2"/>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5"/>
      </w:pPr>
    </w:p>
    <w:p>
      <w:pPr>
        <w:pStyle w:val="15"/>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2"/>
      <w:bookmarkStart w:id="2" w:name="OLE_LINK1"/>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5"/>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w:t>
      </w:r>
    </w:p>
    <w:p>
      <w:pPr>
        <w:widowControl/>
        <w:adjustRightInd w:val="0"/>
        <w:snapToGrid w:val="0"/>
        <w:spacing w:line="62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w:t>
      </w:r>
      <w:r>
        <w:rPr>
          <w:rFonts w:hint="eastAsia" w:ascii="仿宋_GB2312" w:hAnsi="宋体" w:eastAsia="仿宋_GB2312" w:cs="宋体"/>
          <w:kern w:val="0"/>
          <w:sz w:val="32"/>
          <w:szCs w:val="32"/>
          <w:u w:val="single"/>
        </w:rPr>
        <w:t>目前已经开工建设的项目，可申报</w:t>
      </w:r>
      <w:r>
        <w:rPr>
          <w:rFonts w:hint="eastAsia" w:ascii="仿宋_GB2312" w:hAnsi="宋体" w:eastAsia="仿宋_GB2312" w:cs="宋体"/>
          <w:kern w:val="0"/>
          <w:sz w:val="32"/>
          <w:szCs w:val="32"/>
          <w:u w:val="single"/>
          <w:lang w:val="en-US" w:eastAsia="zh-CN"/>
        </w:rPr>
        <w:t>2021</w:t>
      </w:r>
      <w:r>
        <w:rPr>
          <w:rFonts w:hint="eastAsia" w:ascii="仿宋_GB2312" w:hAnsi="宋体" w:eastAsia="仿宋_GB2312" w:cs="宋体"/>
          <w:kern w:val="0"/>
          <w:sz w:val="32"/>
          <w:szCs w:val="32"/>
          <w:u w:val="single"/>
        </w:rPr>
        <w:t>年重大续建项目</w:t>
      </w:r>
      <w:r>
        <w:rPr>
          <w:rFonts w:hint="eastAsia" w:ascii="仿宋_GB2312" w:hAnsi="宋体" w:eastAsia="仿宋_GB2312" w:cs="宋体"/>
          <w:kern w:val="0"/>
          <w:sz w:val="32"/>
          <w:szCs w:val="32"/>
        </w:rPr>
        <w:t>；项目用地已落实（取得《建设用地规划许可证》）且</w:t>
      </w:r>
      <w:r>
        <w:rPr>
          <w:rFonts w:hint="eastAsia" w:ascii="仿宋_GB2312" w:hAnsi="宋体" w:eastAsia="仿宋_GB2312" w:cs="宋体"/>
          <w:kern w:val="0"/>
          <w:sz w:val="32"/>
          <w:szCs w:val="32"/>
          <w:u w:val="single"/>
        </w:rPr>
        <w:t>2</w:t>
      </w:r>
      <w:r>
        <w:rPr>
          <w:rFonts w:hint="eastAsia" w:ascii="仿宋_GB2312" w:hAnsi="宋体" w:eastAsia="仿宋_GB2312" w:cs="宋体"/>
          <w:kern w:val="0"/>
          <w:sz w:val="32"/>
          <w:szCs w:val="32"/>
          <w:u w:val="single"/>
          <w:lang w:val="en-US" w:eastAsia="zh-CN"/>
        </w:rPr>
        <w:t>021</w:t>
      </w:r>
      <w:r>
        <w:rPr>
          <w:rFonts w:hint="eastAsia" w:ascii="仿宋_GB2312" w:hAnsi="宋体" w:eastAsia="仿宋_GB2312" w:cs="宋体"/>
          <w:kern w:val="0"/>
          <w:sz w:val="32"/>
          <w:szCs w:val="32"/>
          <w:u w:val="single"/>
        </w:rPr>
        <w:t>年具备开工条件的，可申报20</w:t>
      </w:r>
      <w:r>
        <w:rPr>
          <w:rFonts w:hint="eastAsia" w:ascii="仿宋_GB2312" w:hAnsi="宋体" w:eastAsia="仿宋_GB2312" w:cs="宋体"/>
          <w:kern w:val="0"/>
          <w:sz w:val="32"/>
          <w:szCs w:val="32"/>
          <w:u w:val="single"/>
          <w:lang w:val="en-US" w:eastAsia="zh-CN"/>
        </w:rPr>
        <w:t>21</w:t>
      </w:r>
      <w:r>
        <w:rPr>
          <w:rFonts w:hint="eastAsia" w:ascii="仿宋_GB2312" w:hAnsi="宋体" w:eastAsia="仿宋_GB2312" w:cs="宋体"/>
          <w:kern w:val="0"/>
          <w:sz w:val="32"/>
          <w:szCs w:val="32"/>
          <w:u w:val="single"/>
        </w:rPr>
        <w:t>年重大新建项目</w:t>
      </w:r>
      <w:r>
        <w:rPr>
          <w:rFonts w:hint="eastAsia" w:ascii="仿宋_GB2312" w:hAnsi="宋体" w:eastAsia="仿宋_GB2312" w:cs="宋体"/>
          <w:kern w:val="0"/>
          <w:sz w:val="32"/>
          <w:szCs w:val="32"/>
        </w:rPr>
        <w:t>。</w:t>
      </w:r>
    </w:p>
    <w:p>
      <w:pPr>
        <w:widowControl/>
        <w:adjustRightInd w:val="0"/>
        <w:snapToGrid w:val="0"/>
        <w:spacing w:line="620" w:lineRule="exact"/>
        <w:ind w:firstLine="643"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b/>
          <w:kern w:val="0"/>
          <w:sz w:val="32"/>
          <w:szCs w:val="32"/>
        </w:rPr>
        <w:t>重大前</w:t>
      </w:r>
      <w:r>
        <w:rPr>
          <w:rFonts w:hint="eastAsia" w:ascii="仿宋_GB2312" w:hAnsi="宋体" w:eastAsia="仿宋_GB2312" w:cs="宋体"/>
          <w:b/>
          <w:bCs w:val="0"/>
          <w:kern w:val="0"/>
          <w:sz w:val="32"/>
          <w:szCs w:val="32"/>
        </w:rPr>
        <w:t>期项目。</w:t>
      </w:r>
      <w:r>
        <w:rPr>
          <w:rFonts w:hint="eastAsia" w:ascii="仿宋_GB2312" w:hAnsi="宋体" w:eastAsia="仿宋_GB2312" w:cs="宋体"/>
          <w:kern w:val="0"/>
          <w:sz w:val="32"/>
          <w:szCs w:val="32"/>
        </w:rPr>
        <w:t>已取得政府投资项目赋码、社会投资项目核准或备案批复（城市更新项目还须列入深圳市城市更新单元</w:t>
      </w:r>
      <w:r>
        <w:rPr>
          <w:rFonts w:hint="eastAsia" w:ascii="仿宋_GB2312" w:hAnsi="宋体" w:eastAsia="仿宋_GB2312" w:cs="宋体"/>
          <w:kern w:val="0"/>
          <w:sz w:val="32"/>
          <w:szCs w:val="32"/>
          <w:highlight w:val="none"/>
        </w:rPr>
        <w:t>计划并已完成实施主体确认），正在开展前期各项筹备、</w:t>
      </w:r>
      <w:r>
        <w:rPr>
          <w:rFonts w:hint="eastAsia" w:ascii="仿宋_GB2312" w:hAnsi="宋体" w:eastAsia="仿宋_GB2312" w:cs="宋体"/>
          <w:kern w:val="0"/>
          <w:sz w:val="32"/>
          <w:szCs w:val="32"/>
          <w:highlight w:val="none"/>
          <w:u w:val="single"/>
        </w:rPr>
        <w:t>20</w:t>
      </w:r>
      <w:r>
        <w:rPr>
          <w:rFonts w:hint="eastAsia" w:ascii="仿宋_GB2312" w:hAnsi="宋体" w:eastAsia="仿宋_GB2312" w:cs="宋体"/>
          <w:kern w:val="0"/>
          <w:sz w:val="32"/>
          <w:szCs w:val="32"/>
          <w:highlight w:val="none"/>
          <w:u w:val="single"/>
          <w:lang w:val="en-US" w:eastAsia="zh-CN"/>
        </w:rPr>
        <w:t>21</w:t>
      </w:r>
      <w:r>
        <w:rPr>
          <w:rFonts w:hint="eastAsia" w:ascii="仿宋_GB2312" w:hAnsi="宋体" w:eastAsia="仿宋_GB2312" w:cs="宋体"/>
          <w:kern w:val="0"/>
          <w:sz w:val="32"/>
          <w:szCs w:val="32"/>
          <w:highlight w:val="none"/>
          <w:u w:val="single"/>
        </w:rPr>
        <w:t>年内不具备开工条件的项目，可申报20</w:t>
      </w:r>
      <w:r>
        <w:rPr>
          <w:rFonts w:hint="eastAsia" w:ascii="仿宋_GB2312" w:hAnsi="宋体" w:eastAsia="仿宋_GB2312" w:cs="宋体"/>
          <w:kern w:val="0"/>
          <w:sz w:val="32"/>
          <w:szCs w:val="32"/>
          <w:highlight w:val="none"/>
          <w:u w:val="single"/>
          <w:lang w:val="en-US" w:eastAsia="zh-CN"/>
        </w:rPr>
        <w:t>21</w:t>
      </w:r>
      <w:r>
        <w:rPr>
          <w:rFonts w:hint="eastAsia" w:ascii="仿宋_GB2312" w:hAnsi="宋体" w:eastAsia="仿宋_GB2312" w:cs="宋体"/>
          <w:kern w:val="0"/>
          <w:sz w:val="32"/>
          <w:szCs w:val="32"/>
          <w:highlight w:val="none"/>
          <w:u w:val="single"/>
        </w:rPr>
        <w:t>年重大前期项目</w:t>
      </w:r>
      <w:r>
        <w:rPr>
          <w:rFonts w:hint="eastAsia" w:ascii="仿宋_GB2312" w:hAnsi="宋体" w:eastAsia="仿宋_GB2312" w:cs="宋体"/>
          <w:kern w:val="0"/>
          <w:sz w:val="32"/>
          <w:szCs w:val="32"/>
          <w:highlight w:val="none"/>
        </w:rPr>
        <w:t>。</w:t>
      </w:r>
    </w:p>
    <w:p>
      <w:pPr>
        <w:tabs>
          <w:tab w:val="left" w:pos="6377"/>
        </w:tabs>
        <w:snapToGrid w:val="0"/>
        <w:spacing w:line="620" w:lineRule="exact"/>
        <w:ind w:firstLine="643" w:firstLineChars="200"/>
        <w:rPr>
          <w:rFonts w:ascii="仿宋_GB2312" w:hAnsi="仿宋" w:eastAsia="仿宋_GB2312"/>
          <w:b/>
          <w:sz w:val="32"/>
          <w:szCs w:val="32"/>
          <w:highlight w:val="none"/>
        </w:rPr>
      </w:pPr>
      <w:r>
        <w:rPr>
          <w:rFonts w:hint="eastAsia" w:ascii="楷体_GB2312" w:hAnsi="楷体_GB2312" w:eastAsia="楷体_GB2312" w:cs="楷体_GB2312"/>
          <w:b/>
          <w:sz w:val="32"/>
          <w:szCs w:val="32"/>
          <w:highlight w:val="none"/>
        </w:rPr>
        <w:t>（二）按行业类别分类</w:t>
      </w:r>
      <w:r>
        <w:rPr>
          <w:rFonts w:hint="eastAsia" w:ascii="仿宋_GB2312" w:hAnsi="仿宋" w:eastAsia="仿宋_GB2312"/>
          <w:b/>
          <w:sz w:val="32"/>
          <w:szCs w:val="32"/>
          <w:highlight w:val="none"/>
        </w:rPr>
        <w:tab/>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重大项目按行业类别分为八类：战略性新兴产业、先进制造业和优势传统产业、现代服务业、社会民生、城市更新、轨道交通、道路机场港口、城市安全环境资源。重大项目确认</w:t>
      </w:r>
      <w:r>
        <w:rPr>
          <w:rFonts w:ascii="仿宋_GB2312" w:hAnsi="仿宋_GB2312" w:eastAsia="仿宋_GB2312" w:cs="仿宋_GB2312"/>
          <w:sz w:val="32"/>
          <w:szCs w:val="32"/>
          <w:highlight w:val="none"/>
        </w:rPr>
        <w:t>原则上不包括房地产开发项目（保障性安居工程除外）</w:t>
      </w:r>
      <w:r>
        <w:rPr>
          <w:rFonts w:hint="eastAsia" w:ascii="仿宋_GB2312" w:hAnsi="仿宋" w:eastAsia="仿宋_GB2312"/>
          <w:sz w:val="32"/>
          <w:szCs w:val="32"/>
          <w:highlight w:val="none"/>
        </w:rPr>
        <w:t>。</w:t>
      </w:r>
    </w:p>
    <w:p>
      <w:pPr>
        <w:snapToGrid w:val="0"/>
        <w:spacing w:line="62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（三）按资金来源分类</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重大项目按资金来源分为两类：政府投资项目</w:t>
      </w:r>
      <w:bookmarkStart w:id="12" w:name="_GoBack"/>
      <w:bookmarkEnd w:id="12"/>
      <w:r>
        <w:rPr>
          <w:rFonts w:hint="eastAsia" w:ascii="仿宋_GB2312" w:hAnsi="仿宋" w:eastAsia="仿宋_GB2312"/>
          <w:sz w:val="32"/>
          <w:szCs w:val="32"/>
          <w:highlight w:val="none"/>
        </w:rPr>
        <w:t>、社会投资项目。</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u w:val="single"/>
        </w:rPr>
        <w:t>重大项目计划不安排项目扶持资金。</w:t>
      </w:r>
      <w:r>
        <w:rPr>
          <w:rFonts w:hint="eastAsia" w:ascii="仿宋_GB2312" w:hAnsi="仿宋" w:eastAsia="仿宋_GB2312"/>
          <w:sz w:val="32"/>
          <w:szCs w:val="32"/>
          <w:highlight w:val="none"/>
        </w:rPr>
        <w:t>政府投资项目资金安排具体见年度政府投资计划；社会投资项目资金由企业自行筹措。</w:t>
      </w:r>
      <w:bookmarkStart w:id="4" w:name="_Toc460429246"/>
    </w:p>
    <w:p>
      <w:pPr>
        <w:pStyle w:val="15"/>
        <w:spacing w:line="620" w:lineRule="exact"/>
        <w:ind w:firstLine="640" w:firstLineChars="200"/>
        <w:rPr>
          <w:highlight w:val="none"/>
        </w:rPr>
      </w:pPr>
      <w:bookmarkStart w:id="5" w:name="_Toc463778236"/>
      <w:r>
        <w:rPr>
          <w:rFonts w:hint="eastAsia"/>
          <w:highlight w:val="none"/>
        </w:rPr>
        <w:t>三、</w:t>
      </w:r>
      <w:bookmarkEnd w:id="4"/>
      <w:r>
        <w:rPr>
          <w:rFonts w:hint="eastAsia"/>
          <w:highlight w:val="none"/>
        </w:rPr>
        <w:t>重大项目可享受的政策支持和便利服务</w:t>
      </w:r>
      <w:bookmarkEnd w:id="5"/>
    </w:p>
    <w:p>
      <w:pPr>
        <w:snapToGrid w:val="0"/>
        <w:spacing w:line="620" w:lineRule="exact"/>
        <w:ind w:firstLine="640" w:firstLineChars="200"/>
        <w:rPr>
          <w:rFonts w:hint="eastAsia" w:ascii="仿宋_GB2312" w:hAnsi="仿宋" w:eastAsia="仿宋_GB2312" w:cs="仿宋_GB2312"/>
          <w:sz w:val="32"/>
          <w:szCs w:val="32"/>
          <w:highlight w:val="none"/>
          <w:lang w:val="zh-CN"/>
        </w:rPr>
      </w:pPr>
      <w:r>
        <w:rPr>
          <w:rFonts w:hint="eastAsia" w:ascii="仿宋_GB2312" w:hAnsi="仿宋" w:eastAsia="仿宋_GB2312" w:cs="仿宋_GB2312"/>
          <w:sz w:val="32"/>
          <w:szCs w:val="32"/>
          <w:highlight w:val="none"/>
          <w:lang w:val="zh-CN"/>
        </w:rPr>
        <w:t>市政府积极支持重大项目建设，对重大项目给予了一系列的政策支持和便利服务，主要内容包括：</w:t>
      </w:r>
    </w:p>
    <w:p>
      <w:pPr>
        <w:snapToGrid w:val="0"/>
        <w:spacing w:line="620" w:lineRule="exact"/>
        <w:ind w:firstLine="630" w:firstLineChars="196"/>
        <w:rPr>
          <w:rFonts w:ascii="仿宋_GB2312" w:hAnsi="仿宋" w:eastAsia="仿宋_GB2312"/>
          <w:sz w:val="32"/>
          <w:szCs w:val="32"/>
          <w:highlight w:val="none"/>
        </w:rPr>
      </w:pPr>
      <w:r>
        <w:rPr>
          <w:rFonts w:hint="eastAsia" w:ascii="仿宋_GB2312" w:hAnsi="仿宋" w:eastAsia="仿宋_GB2312"/>
          <w:b/>
          <w:sz w:val="32"/>
          <w:szCs w:val="32"/>
          <w:highlight w:val="none"/>
        </w:rPr>
        <w:t>一是</w:t>
      </w:r>
      <w:r>
        <w:rPr>
          <w:rFonts w:hint="eastAsia" w:ascii="仿宋_GB2312" w:hAnsi="仿宋" w:eastAsia="仿宋_GB2312"/>
          <w:sz w:val="32"/>
          <w:szCs w:val="32"/>
          <w:highlight w:val="none"/>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b/>
          <w:sz w:val="32"/>
          <w:szCs w:val="32"/>
          <w:highlight w:val="none"/>
        </w:rPr>
        <w:t>二是</w:t>
      </w:r>
      <w:r>
        <w:rPr>
          <w:rFonts w:hint="eastAsia" w:ascii="仿宋_GB2312" w:hAnsi="仿宋" w:eastAsia="仿宋_GB2312"/>
          <w:sz w:val="32"/>
          <w:szCs w:val="32"/>
          <w:highlight w:val="none"/>
        </w:rPr>
        <w:t>享受重大项目</w:t>
      </w:r>
      <w:r>
        <w:rPr>
          <w:rFonts w:hint="eastAsia" w:ascii="仿宋_GB2312" w:hAnsi="仿宋" w:eastAsia="仿宋_GB2312"/>
          <w:color w:val="auto"/>
          <w:sz w:val="32"/>
          <w:szCs w:val="32"/>
          <w:highlight w:val="none"/>
        </w:rPr>
        <w:t>集中办理。</w:t>
      </w:r>
      <w:r>
        <w:rPr>
          <w:rFonts w:hint="eastAsia" w:ascii="仿宋_GB2312" w:hAnsi="仿宋" w:eastAsia="仿宋_GB2312" w:cs="仿宋_GB2312"/>
          <w:color w:val="auto"/>
          <w:sz w:val="32"/>
          <w:szCs w:val="32"/>
          <w:highlight w:val="none"/>
          <w:lang w:val="zh-CN"/>
        </w:rPr>
        <w:t>根据《关于实施重大社会</w:t>
      </w:r>
      <w:r>
        <w:rPr>
          <w:rFonts w:hint="eastAsia" w:ascii="仿宋_GB2312" w:hAnsi="仿宋" w:eastAsia="仿宋_GB2312" w:cs="仿宋_GB2312"/>
          <w:color w:val="auto"/>
          <w:sz w:val="32"/>
          <w:szCs w:val="32"/>
          <w:lang w:val="zh-CN"/>
        </w:rPr>
        <w:t>投资基本建设项目审批集中办理的通知》和《重大社会投资基本建设项目审批事项目录》，对列</w:t>
      </w:r>
      <w:r>
        <w:rPr>
          <w:rFonts w:hint="eastAsia" w:ascii="仿宋_GB2312" w:hAnsi="仿宋" w:eastAsia="仿宋_GB2312" w:cs="仿宋_GB2312"/>
          <w:sz w:val="32"/>
          <w:szCs w:val="32"/>
          <w:lang w:val="zh-CN"/>
        </w:rPr>
        <w:t>入重大项目计划的社会投资项目审批实施集中办理，将除转移下放、需现场检测监督和其他不适宜进驻行政服务大厅办理以外的全部审批事项进驻行政服务大厅，实行集中受理、办理，纳入跨部门协同系统予以全程监管，各审批部门严格按照规定予以办理，进一步提高了重大项目审批效率。</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明确重大项目推进责任单位。每年按照行业管理、属地管理的原则将重大项目的协调推进责任分解到各区（新区）、各部门，各区（新区）、各部门作为重大项目协调推进的责任主体，按照项目建设计划分解目标，加强重大项目的推进力度。</w:t>
      </w:r>
    </w:p>
    <w:p>
      <w:pPr>
        <w:snapToGrid w:val="0"/>
        <w:spacing w:line="620" w:lineRule="exact"/>
        <w:ind w:firstLine="643" w:firstLineChars="200"/>
        <w:rPr>
          <w:rFonts w:hint="eastAsia" w:ascii="仿宋_GB2312" w:hAnsi="仿宋" w:eastAsia="仿宋_GB2312" w:cs="仿宋_GB2312"/>
          <w:sz w:val="32"/>
          <w:szCs w:val="32"/>
          <w:lang w:val="zh-CN"/>
        </w:rPr>
      </w:pPr>
      <w:r>
        <w:rPr>
          <w:rFonts w:hint="eastAsia" w:ascii="仿宋_GB2312" w:eastAsia="仿宋_GB2312"/>
          <w:b/>
          <w:sz w:val="32"/>
          <w:szCs w:val="32"/>
          <w:lang w:val="zh-CN"/>
        </w:rPr>
        <w:t>四是</w:t>
      </w:r>
      <w:r>
        <w:rPr>
          <w:rFonts w:hint="eastAsia" w:ascii="仿宋_GB2312" w:hAnsi="仿宋" w:eastAsia="仿宋_GB2312" w:cs="仿宋_GB2312"/>
          <w:sz w:val="32"/>
          <w:szCs w:val="32"/>
          <w:lang w:val="zh-CN"/>
        </w:rPr>
        <w:t>享受重大项目分级协调服务。我市建立了“</w:t>
      </w:r>
      <w:r>
        <w:rPr>
          <w:rFonts w:hint="eastAsia" w:ascii="仿宋_GB2312" w:eastAsia="仿宋_GB2312"/>
          <w:sz w:val="32"/>
          <w:szCs w:val="32"/>
        </w:rPr>
        <w:t>市发展改革委-各区（新区）和各部门-市领导</w:t>
      </w:r>
      <w:r>
        <w:rPr>
          <w:rFonts w:hint="eastAsia" w:ascii="仿宋_GB2312" w:hAnsi="仿宋" w:eastAsia="仿宋_GB2312" w:cs="仿宋_GB2312"/>
          <w:sz w:val="32"/>
          <w:szCs w:val="32"/>
          <w:lang w:val="zh-CN"/>
        </w:rPr>
        <w:t>”的重大项目全链条分级协调机制，打造了各区、各部门、各项目单位信息线上沟通和实时反馈的“智慧发改”项目协调平台，及时协调解决重大项目在推进过程中遇到的重点、难点问题。</w:t>
      </w:r>
      <w:bookmarkStart w:id="6" w:name="_Toc460429249"/>
    </w:p>
    <w:p>
      <w:pPr>
        <w:snapToGrid w:val="0"/>
        <w:spacing w:line="620" w:lineRule="exact"/>
        <w:ind w:firstLine="643" w:firstLineChars="200"/>
        <w:rPr>
          <w:rFonts w:hint="eastAsia" w:ascii="仿宋_GB2312" w:hAnsi="仿宋" w:eastAsia="仿宋_GB2312" w:cs="仿宋_GB2312"/>
          <w:color w:val="auto"/>
          <w:sz w:val="32"/>
          <w:szCs w:val="32"/>
          <w:lang w:val="zh-CN" w:eastAsia="zh-CN"/>
        </w:rPr>
      </w:pPr>
      <w:r>
        <w:rPr>
          <w:rFonts w:hint="eastAsia" w:ascii="仿宋_GB2312" w:eastAsia="仿宋_GB2312"/>
          <w:b/>
          <w:color w:val="auto"/>
          <w:sz w:val="32"/>
          <w:szCs w:val="32"/>
          <w:lang w:val="zh-CN"/>
        </w:rPr>
        <w:t>五是</w:t>
      </w:r>
      <w:r>
        <w:rPr>
          <w:rFonts w:hint="eastAsia" w:ascii="仿宋_GB2312" w:hAnsi="仿宋" w:eastAsia="仿宋_GB2312" w:cs="仿宋_GB2312"/>
          <w:color w:val="auto"/>
          <w:sz w:val="32"/>
          <w:szCs w:val="32"/>
          <w:lang w:val="zh-CN"/>
        </w:rPr>
        <w:t>享受深圳市投资项目审批服务专班、稳投资工作专班服务。</w:t>
      </w:r>
      <w:r>
        <w:rPr>
          <w:rFonts w:hint="eastAsia" w:ascii="仿宋_GB2312" w:hAnsi="微软雅黑" w:eastAsia="仿宋_GB2312"/>
          <w:color w:val="auto"/>
          <w:sz w:val="32"/>
          <w:szCs w:val="32"/>
          <w:lang w:eastAsia="zh-CN"/>
        </w:rPr>
        <w:t>按照专班处理、并联审批、容缺审批、特事特办原则，</w:t>
      </w:r>
      <w:r>
        <w:rPr>
          <w:rFonts w:hint="eastAsia" w:ascii="仿宋_GB2312" w:hAnsi="仿宋" w:eastAsia="仿宋_GB2312" w:cs="仿宋_GB2312"/>
          <w:color w:val="auto"/>
          <w:sz w:val="32"/>
          <w:szCs w:val="32"/>
          <w:lang w:val="zh-CN"/>
        </w:rPr>
        <w:t>专班通过</w:t>
      </w:r>
      <w:r>
        <w:rPr>
          <w:rFonts w:hint="eastAsia" w:ascii="仿宋_GB2312" w:hAnsi="微软雅黑" w:eastAsia="仿宋_GB2312"/>
          <w:color w:val="auto"/>
          <w:sz w:val="32"/>
          <w:szCs w:val="32"/>
        </w:rPr>
        <w:t>建立工作专班会议、办公室工作例会</w:t>
      </w:r>
      <w:r>
        <w:rPr>
          <w:rFonts w:hint="eastAsia" w:ascii="仿宋_GB2312" w:hAnsi="微软雅黑" w:eastAsia="仿宋_GB2312"/>
          <w:color w:val="auto"/>
          <w:sz w:val="32"/>
          <w:szCs w:val="32"/>
          <w:lang w:eastAsia="zh-CN"/>
        </w:rPr>
        <w:t>等定期</w:t>
      </w:r>
      <w:r>
        <w:rPr>
          <w:rFonts w:hint="eastAsia" w:ascii="仿宋_GB2312" w:hAnsi="微软雅黑" w:eastAsia="仿宋_GB2312"/>
          <w:color w:val="auto"/>
          <w:sz w:val="32"/>
          <w:szCs w:val="32"/>
        </w:rPr>
        <w:t>协调调度机制，以及按区、部门职能分工的区级政府协调机制和部门专项协调机制</w:t>
      </w:r>
      <w:r>
        <w:rPr>
          <w:rFonts w:hint="eastAsia" w:ascii="仿宋_GB2312" w:hAnsi="微软雅黑" w:eastAsia="仿宋_GB2312"/>
          <w:color w:val="auto"/>
          <w:sz w:val="32"/>
          <w:szCs w:val="32"/>
          <w:lang w:eastAsia="zh-CN"/>
        </w:rPr>
        <w:t>，集中、联动推动项目审批和协调服务，有效加快项目建设。</w:t>
      </w:r>
    </w:p>
    <w:bookmarkEnd w:id="6"/>
    <w:p>
      <w:pPr>
        <w:pStyle w:val="15"/>
        <w:spacing w:line="620" w:lineRule="exact"/>
        <w:ind w:firstLine="640" w:firstLineChars="200"/>
        <w:rPr>
          <w:rFonts w:hint="eastAsia"/>
        </w:rPr>
      </w:pPr>
      <w:bookmarkStart w:id="7" w:name="_Toc460429250"/>
      <w:bookmarkStart w:id="8" w:name="_Toc463778238"/>
      <w:r>
        <w:rPr>
          <w:rFonts w:hint="eastAsia"/>
        </w:rPr>
        <w:t>四、重大项目的申报材料</w:t>
      </w:r>
      <w:bookmarkEnd w:id="7"/>
      <w:bookmarkEnd w:id="8"/>
    </w:p>
    <w:p>
      <w:pPr>
        <w:pStyle w:val="15"/>
        <w:spacing w:line="620" w:lineRule="exact"/>
        <w:ind w:firstLine="643"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5"/>
        <w:spacing w:line="620" w:lineRule="exact"/>
        <w:ind w:firstLine="643"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5"/>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下述材料中，（1）-（3）为所有项目必须提交的材料,战略性新兴产业、先进制造业和优势传统产业项目还须增加提供（4）（5）,社会投资项目还须增加提供（6）（7）。</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其余材料为可选择提供材料，项目单位可依据自身实际情况补充提交。提交材料充分详实，有助于市发展改革委初审和专家评审，将增加审核通过概率。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（7）国家企业信用信息公示系统下载打印的信用信息报告；</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（9）规划国土、环保、建设、消防等有关部门的项目批复文件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（11）其他需要提供的材料。</w:t>
      </w:r>
    </w:p>
    <w:p>
      <w:pPr>
        <w:pStyle w:val="15"/>
        <w:spacing w:line="620" w:lineRule="exact"/>
        <w:ind w:firstLine="640" w:firstLineChars="200"/>
        <w:rPr>
          <w:rFonts w:hint="eastAsia"/>
        </w:rPr>
      </w:pPr>
      <w:bookmarkStart w:id="10" w:name="_Toc463778241"/>
      <w:r>
        <w:rPr>
          <w:rFonts w:hint="eastAsia"/>
        </w:rPr>
        <w:t>五、重大项目的认定流程</w:t>
      </w:r>
      <w:bookmarkEnd w:id="10"/>
    </w:p>
    <w:p>
      <w:pPr>
        <w:pStyle w:val="15"/>
        <w:spacing w:line="620" w:lineRule="exact"/>
        <w:ind w:firstLine="640" w:firstLineChars="200"/>
        <w:rPr>
          <w:rFonts w:ascii="仿宋_GB2312" w:eastAsia="仿宋_GB2312" w:cs="仿宋_GB2312"/>
          <w:lang w:val="zh-CN"/>
        </w:rPr>
      </w:pPr>
      <w:r>
        <w:rPr>
          <w:rFonts w:hint="eastAsia" w:ascii="仿宋_GB2312" w:eastAsia="仿宋_GB2312" w:cs="仿宋_GB2312"/>
          <w:lang w:val="zh-CN"/>
        </w:rPr>
        <w:t>重大项目认定具体工作流程如下：</w:t>
      </w:r>
    </w:p>
    <w:p>
      <w:pPr>
        <w:widowControl/>
        <w:adjustRightInd w:val="0"/>
        <w:snapToGrid w:val="0"/>
        <w:spacing w:line="360" w:lineRule="auto"/>
        <w:ind w:firstLine="640" w:firstLineChars="200"/>
        <w:jc w:val="left"/>
        <w:rPr>
          <w:rFonts w:ascii="仿宋_GB2312" w:hAnsi="仿宋" w:eastAsia="仿宋_GB2312" w:cs="仿宋_GB2312"/>
          <w:sz w:val="32"/>
          <w:szCs w:val="32"/>
          <w:lang w:val="zh-CN"/>
        </w:rPr>
      </w:pPr>
    </w:p>
    <w:p>
      <w:pPr>
        <w:snapToGrid w:val="0"/>
        <w:spacing w:line="560" w:lineRule="atLeast"/>
        <w:ind w:firstLine="420" w:firstLineChars="200"/>
      </w:pPr>
      <w: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1"/>
                    </wps:wsp>
                  </a:graphicData>
                </a:graphic>
              </wp:anchor>
            </w:drawing>
          </mc:Choice>
          <mc:Fallback>
            <w:pict>
              <v:rect id="_x0000_s1026" o:spid="_x0000_s1026" o:spt="1" style="position:absolute;left:0pt;margin-left:25.5pt;margin-top:18.45pt;height:43.45pt;width:383.4pt;z-index:251658240;v-text-anchor:middle;mso-width-relative:page;mso-height-relative:page;" fillcolor="#FFFFFF" filled="t" stroked="t" coordsize="21600,21600" o:gfxdata="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Fgy9gAAAAJAQAADwAAAAAAAAABACAAAAAiAAAAZHJzL2Rvd25yZXYueG1sUEsB&#10;AhQAFAAAAAgAh07iQPUc0Yf1AQAA9wMAAA4AAAAAAAAAAQAgAAAAJwEAAGRycy9lMm9Eb2MueG1s&#10;UEsFBgAAAAAGAAYAWQEAAI4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198.05pt;margin-top:4.8pt;height:19.95pt;width:27.8pt;z-index:251659264;v-text-anchor:middle;mso-width-relative:page;mso-height-relative:page;" fillcolor="#4F81BD" filled="t" stroked="t" coordsize="21600,21600" o:gfxdata="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RN6BrW&#10;AAAACAEAAA8AAAAAAAAAAQAgAAAAIgAAAGRycy9kb3ducmV2LnhtbFBLAQIUABQAAAAIAIdO4kBw&#10;HeWTIgIAAE8EAAAOAAAAAAAAAAEAIAAAACUBAABkcnMvZTJvRG9jLnhtbFBLBQYAAAAABgAGAFkB&#10;AAC5BQAAAAA=&#10;" adj="10800,5400">
                <v:fill on="t" focussize="0,0"/>
                <v:stroke weight="2pt" color="#385D8A"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wps:txbx>
                      <wps:bodyPr anchor="ctr" upright="1"/>
                    </wps:wsp>
                  </a:graphicData>
                </a:graphic>
              </wp:anchor>
            </w:drawing>
          </mc:Choice>
          <mc:Fallback>
            <w:pict>
              <v:rect id="_x0000_s1026" o:spid="_x0000_s1026" o:spt="1" style="position:absolute;left:0pt;margin-left:25.95pt;margin-top:26.55pt;height:62.3pt;width:383.25pt;z-index:251663360;v-text-anchor:middle;mso-width-relative:page;mso-height-relative:page;" fillcolor="#FFFFFF" filled="t" stroked="t" coordsize="21600,21600" o:gfxdata="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Ba1dkAAAAJAQAADwAAAAAAAAABACAAAAAiAAAAZHJzL2Rvd25yZXYu&#10;eG1sUEsBAhQAFAAAAAgAh07iQJHXV176AQAA9wMAAA4AAAAAAAAAAQAgAAAAKAEAAGRycy9lMm9E&#10;b2MueG1sUEsFBgAAAAAGAAYAWQEAAJQ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4384"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199.45pt;margin-top:27.15pt;height:21.75pt;width:27.8pt;z-index:251664384;v-text-anchor:middle;mso-width-relative:page;mso-height-relative:page;" fillcolor="#4F81BD" filled="t" stroked="t" coordsize="21600,21600" o:gfxdata="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Lr4&#10;R9cAAAAJAQAADwAAAAAAAAABACAAAAAiAAAAZHJzL2Rvd25yZXYueG1sUEsBAhQAFAAAAAgAh07i&#10;QGxMIsQjAgAATwQAAA4AAAAAAAAAAQAgAAAAJgEAAGRycy9lMm9Eb2MueG1sUEsFBgAAAAAGAAYA&#10;WQEAALs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7456"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1"/>
                    </wps:wsp>
                  </a:graphicData>
                </a:graphic>
              </wp:anchor>
            </w:drawing>
          </mc:Choice>
          <mc:Fallback>
            <w:pict>
              <v:rect id="_x0000_s1026" o:spid="_x0000_s1026" o:spt="1" style="position:absolute;left:0pt;margin-left:86.35pt;margin-top:19.4pt;height:37.4pt;width:253.8pt;z-index:251667456;v-text-anchor:middle;mso-width-relative:page;mso-height-relative:page;" fillcolor="#FFFFFF" filled="t" stroked="t" coordsize="21600,21600" o:gfxdata="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1pHBXXAAAACgEAAA8AAAAAAAAAAQAgAAAAIgAAAGRycy9kb3ducmV2Lnht&#10;bFBLAQIUABQAAAAIAIdO4kDxcFHl+gEAAPkDAAAOAAAAAAAAAAEAIAAAACYBAABkcnMvZTJvRG9j&#10;LnhtbFBLBQYAAAAABgAGAFkBAACSBQ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201.15pt;margin-top:26.1pt;height:21.9pt;width:27.8pt;z-index:251665408;v-text-anchor:middle;mso-width-relative:page;mso-height-relative:page;" fillcolor="#4F81BD" filled="t" stroked="t" coordsize="21600,21600" o:gfxdata="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kMz&#10;B9cAAAAJAQAADwAAAAAAAAABACAAAAAiAAAAZHJzL2Rvd25yZXYueG1sUEsBAhQAFAAAAAgAh07i&#10;QAN22i8jAgAATwQAAA4AAAAAAAAAAQAgAAAAJgEAAGRycy9lMm9Eb2MueG1sUEsFBgAAAAAGAAYA&#10;WQEAALs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1"/>
                    </wps:wsp>
                  </a:graphicData>
                </a:graphic>
              </wp:anchor>
            </w:drawing>
          </mc:Choice>
          <mc:Fallback>
            <w:pict>
              <v:rect id="_x0000_s1026" o:spid="_x0000_s1026" o:spt="1" style="position:absolute;left:0pt;margin-left:36.15pt;margin-top:19.25pt;height:37.4pt;width:353.45pt;z-index:251661312;v-text-anchor:middle;mso-width-relative:page;mso-height-relative:page;" fillcolor="#FFFFFF" filled="t" stroked="t" coordsize="21600,21600" o:gfxdata="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bB0O2QAAAAkBAAAPAAAAAAAAAAEAIAAAACIAAABkcnMvZG93bnJldi54&#10;bWxQSwECFAAUAAAACACHTuJA3nE3g/kBAAD3AwAADgAAAAAAAAABACAAAAAoAQAAZHJzL2Uyb0Rv&#10;Yy54bWxQSwUGAAAAAAYABgBZAQAAkwU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202pt;margin-top:24.9pt;height:22.15pt;width:27.8pt;z-index:251660288;v-text-anchor:middle;mso-width-relative:page;mso-height-relative:page;" fillcolor="#4F81BD" filled="t" stroked="t" coordsize="21600,21600" o:gfxdata="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QfK&#10;idcAAAAJAQAADwAAAAAAAAABACAAAAAiAAAAZHJzL2Rvd25yZXYueG1sUEsBAhQAFAAAAAgAh07i&#10;QKL1nzAjAgAATwQAAA4AAAAAAAAAAQAgAAAAJgEAAGRycy9lMm9Eb2MueG1sUEsFBgAAAAAGAAYA&#10;WQEAALs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1"/>
                    </wps:wsp>
                  </a:graphicData>
                </a:graphic>
              </wp:anchor>
            </w:drawing>
          </mc:Choice>
          <mc:Fallback>
            <w:pict>
              <v:rect id="_x0000_s1026" o:spid="_x0000_s1026" o:spt="1" style="position:absolute;left:0pt;margin-left:67.55pt;margin-top:18.2pt;height:26.6pt;width:297pt;z-index:251662336;v-text-anchor:middle;mso-width-relative:page;mso-height-relative:page;" fillcolor="#FFFFFF" filled="t" stroked="t" coordsize="21600,21600" o:gfxdata="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g12mNgAAAAJAQAADwAAAAAAAAABACAAAAAiAAAAZHJzL2Rvd25yZXYueG1s&#10;UEsBAhQAFAAAAAgAh07iQOrivZ/4AQAA9wMAAA4AAAAAAAAAAQAgAAAAJwEAAGRycy9lMm9Eb2Mu&#10;eG1sUEsFBgAAAAAGAAYAWQEAAJE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3.5pt;margin-top:15.75pt;height:22.15pt;width:27.8pt;z-index:251668480;v-text-anchor:middle;mso-width-relative:page;mso-height-relative:page;" fillcolor="#4F81BD" filled="t" stroked="t" coordsize="21600,21600" o:gfxdata="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67WPXAAAACQEA&#10;AA8AAAAAAAAAAQAgAAAAIgAAAGRycy9kb3ducmV2LnhtbFBLAQIUABQAAAAIAIdO4kDoibpXGwIA&#10;AEYEAAAOAAAAAAAAAAEAIAAAACYBAABkcnMvZTJvRG9jLnhtbFBLBQYAAAAABgAGAFkBAACzBQAA&#10;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1"/>
                    </wps:wsp>
                  </a:graphicData>
                </a:graphic>
              </wp:anchor>
            </w:drawing>
          </mc:Choice>
          <mc:Fallback>
            <w:pict>
              <v:rect id="_x0000_s1026" o:spid="_x0000_s1026" o:spt="1" style="position:absolute;left:0pt;margin-left:46.05pt;margin-top:10.9pt;height:59.5pt;width:345.25pt;z-index:251666432;v-text-anchor:middle;mso-width-relative:page;mso-height-relative:page;" fillcolor="#FFFFFF" filled="t" stroked="t" coordsize="21600,21600" o:gfxdata="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MQo3XAAAACQEAAA8AAAAAAAAAAQAgAAAAIgAAAGRycy9kb3ducmV2Lnht&#10;bFBLAQIUABQAAAAIAIdO4kAe+ylW+gEAAPcDAAAOAAAAAAAAAAEAIAAAACYBAABkcnMvZTJvRG9j&#10;LnhtbFBLBQYAAAAABgAGAFkBAACSBQ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5"/>
        <w:ind w:left="0" w:leftChars="0" w:firstLine="0" w:firstLineChars="0"/>
        <w:rPr>
          <w:rFonts w:hint="eastAsia"/>
        </w:rPr>
      </w:pPr>
      <w:bookmarkStart w:id="11" w:name="_Toc463778242"/>
    </w:p>
    <w:p>
      <w:pPr>
        <w:pStyle w:val="15"/>
        <w:spacing w:line="600" w:lineRule="exact"/>
        <w:ind w:firstLine="640" w:firstLineChars="200"/>
      </w:pPr>
      <w:r>
        <w:rPr>
          <w:rFonts w:hint="eastAsia"/>
        </w:rPr>
        <w:t>六、其他</w:t>
      </w:r>
      <w:bookmarkEnd w:id="11"/>
    </w:p>
    <w:p>
      <w:pPr>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（一）</w:t>
      </w:r>
      <w:r>
        <w:rPr>
          <w:rFonts w:hint="eastAsia" w:ascii="仿宋_GB2312" w:hAnsi="仿宋" w:eastAsia="仿宋_GB2312"/>
          <w:sz w:val="32"/>
          <w:szCs w:val="32"/>
        </w:rPr>
        <w:t>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（二）</w:t>
      </w:r>
      <w:r>
        <w:rPr>
          <w:rFonts w:hint="eastAsia" w:ascii="仿宋_GB2312" w:hAnsi="仿宋" w:eastAsia="仿宋_GB2312"/>
          <w:sz w:val="32"/>
          <w:szCs w:val="32"/>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roman"/>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T&#10;pUNX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HlxiBb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43F3D6D"/>
    <w:rsid w:val="0B042269"/>
    <w:rsid w:val="0B282B79"/>
    <w:rsid w:val="0C9C26C7"/>
    <w:rsid w:val="17B65E34"/>
    <w:rsid w:val="188A21B6"/>
    <w:rsid w:val="19EB4FCB"/>
    <w:rsid w:val="1ABE62B7"/>
    <w:rsid w:val="1AC334EC"/>
    <w:rsid w:val="1ED73462"/>
    <w:rsid w:val="1EE22763"/>
    <w:rsid w:val="1F652234"/>
    <w:rsid w:val="23FB1270"/>
    <w:rsid w:val="24656A6B"/>
    <w:rsid w:val="278A4DE8"/>
    <w:rsid w:val="2C1C2CC6"/>
    <w:rsid w:val="2E532112"/>
    <w:rsid w:val="3062261B"/>
    <w:rsid w:val="31720DA7"/>
    <w:rsid w:val="347F6B0B"/>
    <w:rsid w:val="3880029A"/>
    <w:rsid w:val="3A111E0F"/>
    <w:rsid w:val="3AB86B0A"/>
    <w:rsid w:val="3C3C29AE"/>
    <w:rsid w:val="403117CB"/>
    <w:rsid w:val="41D95362"/>
    <w:rsid w:val="440306F3"/>
    <w:rsid w:val="461C358B"/>
    <w:rsid w:val="464A57EB"/>
    <w:rsid w:val="47CD0044"/>
    <w:rsid w:val="4816692C"/>
    <w:rsid w:val="522B598D"/>
    <w:rsid w:val="528F7232"/>
    <w:rsid w:val="53A57EF5"/>
    <w:rsid w:val="56CA3393"/>
    <w:rsid w:val="5A8F62D1"/>
    <w:rsid w:val="5C5E0E20"/>
    <w:rsid w:val="5C630FFD"/>
    <w:rsid w:val="5D4A5D88"/>
    <w:rsid w:val="638E602F"/>
    <w:rsid w:val="65861AD4"/>
    <w:rsid w:val="6BF72F41"/>
    <w:rsid w:val="6D725C4A"/>
    <w:rsid w:val="6FC94DA6"/>
    <w:rsid w:val="6FD5447F"/>
    <w:rsid w:val="723C4BE1"/>
    <w:rsid w:val="746A3B4E"/>
    <w:rsid w:val="754F59F0"/>
    <w:rsid w:val="765C450E"/>
    <w:rsid w:val="76621CEE"/>
    <w:rsid w:val="76F2051B"/>
    <w:rsid w:val="77302E3F"/>
    <w:rsid w:val="79EC2F8C"/>
    <w:rsid w:val="7B7B6AD7"/>
    <w:rsid w:val="7C065D52"/>
    <w:rsid w:val="7CE64BBE"/>
    <w:rsid w:val="7DD713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21"/>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重正文"/>
    <w:basedOn w:val="1"/>
    <w:qFormat/>
    <w:uiPriority w:val="0"/>
    <w:pPr>
      <w:spacing w:line="360" w:lineRule="auto"/>
    </w:pPr>
    <w:rPr>
      <w:rFonts w:ascii="Arial" w:hAnsi="Arial" w:eastAsia="仿宋" w:cs="Arial"/>
      <w:b/>
      <w:color w:val="000000"/>
      <w:sz w:val="32"/>
      <w:szCs w:val="32"/>
    </w:rPr>
  </w:style>
  <w:style w:type="paragraph" w:customStyle="1" w:styleId="14">
    <w:name w:val="重3"/>
    <w:basedOn w:val="15"/>
    <w:qFormat/>
    <w:uiPriority w:val="0"/>
    <w:pPr>
      <w:outlineLvl w:val="2"/>
    </w:pPr>
  </w:style>
  <w:style w:type="paragraph" w:customStyle="1" w:styleId="15">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6">
    <w:name w:val="列表段落1"/>
    <w:basedOn w:val="1"/>
    <w:qFormat/>
    <w:uiPriority w:val="34"/>
    <w:pPr>
      <w:ind w:firstLine="420" w:firstLineChars="200"/>
    </w:pPr>
  </w:style>
  <w:style w:type="paragraph" w:customStyle="1" w:styleId="17">
    <w:name w:val="重4"/>
    <w:basedOn w:val="14"/>
    <w:qFormat/>
    <w:uiPriority w:val="0"/>
    <w:pPr>
      <w:outlineLvl w:val="3"/>
    </w:pPr>
    <w:rPr>
      <w:rFonts w:ascii="仿宋_GB2312"/>
      <w:sz w:val="30"/>
      <w:szCs w:val="30"/>
    </w:rPr>
  </w:style>
  <w:style w:type="character" w:customStyle="1" w:styleId="18">
    <w:name w:val="标题 2 Char"/>
    <w:link w:val="2"/>
    <w:semiHidden/>
    <w:qFormat/>
    <w:uiPriority w:val="9"/>
    <w:rPr>
      <w:rFonts w:ascii="Calibri Light" w:hAnsi="Calibri Light" w:eastAsia="宋体" w:cs="Times New Roman"/>
      <w:b/>
      <w:bCs/>
      <w:sz w:val="32"/>
      <w:szCs w:val="32"/>
    </w:rPr>
  </w:style>
  <w:style w:type="character" w:customStyle="1" w:styleId="19">
    <w:name w:val="页脚 Char"/>
    <w:link w:val="5"/>
    <w:qFormat/>
    <w:uiPriority w:val="99"/>
    <w:rPr>
      <w:rFonts w:ascii="Times New Roman" w:hAnsi="Times New Roman" w:eastAsia="宋体" w:cs="Times New Roman"/>
      <w:sz w:val="18"/>
      <w:szCs w:val="18"/>
    </w:rPr>
  </w:style>
  <w:style w:type="character" w:customStyle="1" w:styleId="20">
    <w:name w:val="页眉 Char"/>
    <w:link w:val="6"/>
    <w:qFormat/>
    <w:uiPriority w:val="99"/>
    <w:rPr>
      <w:rFonts w:ascii="Times New Roman" w:hAnsi="Times New Roman" w:eastAsia="宋体" w:cs="Times New Roman"/>
      <w:sz w:val="18"/>
      <w:szCs w:val="18"/>
    </w:rPr>
  </w:style>
  <w:style w:type="character" w:customStyle="1" w:styleId="21">
    <w:name w:val="批注框文本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3599</Words>
  <Characters>3642</Characters>
  <Lines>27</Lines>
  <Paragraphs>7</Paragraphs>
  <TotalTime>12</TotalTime>
  <ScaleCrop>false</ScaleCrop>
  <LinksUpToDate>false</LinksUpToDate>
  <CharactersWithSpaces>3651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2017-09-25T02:55:00Z</dcterms:created>
  <dc:creator>杨卓民</dc:creator>
  <cp:lastModifiedBy>杨卓民</cp:lastModifiedBy>
  <cp:lastPrinted>2017-05-26T08:15:00Z</cp:lastPrinted>
  <dcterms:modified xsi:type="dcterms:W3CDTF">2020-10-26T09:33:21Z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