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附件</w:t>
      </w:r>
    </w:p>
    <w:p>
      <w:pPr>
        <w:spacing w:line="600" w:lineRule="exact"/>
        <w:ind w:firstLine="1280" w:firstLineChars="400"/>
        <w:rPr>
          <w:rFonts w:hint="eastAsia" w:ascii="方正小标宋_GBK" w:hAnsi="方正小标宋_GBK" w:eastAsia="方正小标宋_GBK" w:cs="方正小标宋_GBK"/>
          <w:spacing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2"/>
          <w:szCs w:val="32"/>
        </w:rPr>
        <w:t>2020年第</w:t>
      </w:r>
      <w:r>
        <w:rPr>
          <w:rFonts w:hint="eastAsia" w:ascii="方正小标宋_GBK" w:hAnsi="方正小标宋_GBK" w:eastAsia="方正小标宋_GBK" w:cs="方正小标宋_GBK"/>
          <w:spacing w:val="0"/>
          <w:sz w:val="32"/>
          <w:szCs w:val="32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pacing w:val="0"/>
          <w:sz w:val="32"/>
          <w:szCs w:val="32"/>
        </w:rPr>
        <w:t>批国家火炬特色产业基地名单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tbl>
      <w:tblPr>
        <w:tblStyle w:val="3"/>
        <w:tblW w:w="816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6446"/>
        <w:gridCol w:w="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国家火炬夏邑高端纺织服装特色产业基地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国家火炬盐城射阳无损探伤设备特色产业基地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国家火炬盐城高新区智能终端特色产业基地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国家火炬徐州沛县光伏特色产业基地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国家火炬南通如东高分子材料特色产业基地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国家火炬丽水遂昌县金属制品特色产业基地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国家火炬杭州萧山信息港小镇新一代人工智能特色产业基地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国家火炬荆州开发区汽车及零部件特色产业基地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国家火炬丹东高新区满族医药特色产业基地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辽宁省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160" w:firstLineChars="28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380" w:firstLineChars="29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注：排名不分先后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1EFD"/>
    <w:rsid w:val="097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2020-11-16T07:55:00Z</dcterms:created>
  <dc:creator>Administrator</dc:creator>
  <cp:lastModifiedBy>Administrator</cp:lastModifiedBy>
  <dcterms:modified xsi:type="dcterms:W3CDTF">2020-11-16T07:55:20Z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