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center"/>
        <w:rPr>
          <w:color w:val="555555"/>
        </w:rPr>
      </w:pPr>
      <w:r>
        <w:rPr>
          <w:color w:val="555555"/>
        </w:rPr>
        <w:t>　　2021年深圳市工业强基工程资助计划表</w:t>
      </w:r>
    </w:p>
    <w:tbl>
      <w:tblPr>
        <w:tblW w:w="153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4810"/>
        <w:gridCol w:w="7730"/>
        <w:gridCol w:w="18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序号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项目单位名称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项目名称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资助金额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（万元)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1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深圳市鑫申新材料科技有限公司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新型高强韧压铸铝合金研发及产业化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2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深圳市裕同包装科技股份有限公司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基于1600DPI+FM调频的电子油墨数字印刷技术生产线的研发和应用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3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深圳煜炜光学科技有限公司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高性能激光雷达产品研发及产业化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4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深圳市超思维电子股份有限公司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高安全BMS锂电池管理系统柔性制造关键技术研发及产业化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5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深圳金信诺高新技术股份有限公司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高速I/O连接器及组件研发产业化项目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6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深圳市创成微电子有限公司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高性能电机控制算法处理芯片的研发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rPr>
                <w:color w:val="555555"/>
              </w:rPr>
            </w:pPr>
            <w:r>
              <w:rPr>
                <w:color w:val="555555"/>
              </w:rPr>
              <w:t>7</w:t>
            </w:r>
          </w:p>
        </w:tc>
        <w:tc>
          <w:tcPr>
            <w:tcW w:w="4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深圳市隆利科技股份有限公司</w:t>
            </w:r>
          </w:p>
        </w:tc>
        <w:tc>
          <w:tcPr>
            <w:tcW w:w="7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应用于移动终端的背光显示模组产业化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合计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" w:lineRule="atLeast"/>
              <w:ind w:left="0" w:right="0" w:firstLine="0"/>
              <w:jc w:val="left"/>
              <w:rPr>
                <w:color w:val="555555"/>
              </w:rPr>
            </w:pPr>
            <w:r>
              <w:rPr>
                <w:color w:val="555555"/>
              </w:rPr>
              <w:t>236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left"/>
        <w:rPr>
          <w:color w:val="555555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A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2021-09-14T03:46:30Z</dcterms:created>
  <dc:creator>user</dc:creator>
  <cp:lastModifiedBy>user</cp:lastModifiedBy>
  <dcterms:modified xsi:type="dcterms:W3CDTF">2021-09-14T03:47:52Z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1A96D46DF84547B98B04CCEDDAD0B9FB</vt:lpwstr>
  </property>
</Properties>
</file>