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beforeAutospacing="0" w:after="0" w:afterAutospacing="0" w:line="600" w:lineRule="exact"/>
        <w:jc w:val="both"/>
        <w:rPr>
          <w:rFonts w:hint="default" w:ascii="黑体" w:hAnsi="黑体" w:eastAsia="黑体" w:cs="黑体"/>
          <w:bCs/>
          <w:sz w:val="32"/>
          <w:szCs w:val="32"/>
        </w:rPr>
      </w:pPr>
      <w:r>
        <w:rPr>
          <w:rFonts w:ascii="黑体" w:hAnsi="黑体" w:eastAsia="黑体" w:cs="黑体"/>
          <w:b w:val="0"/>
          <w:sz w:val="32"/>
          <w:szCs w:val="32"/>
        </w:rPr>
        <w:t>附件</w:t>
      </w:r>
    </w:p>
    <w:p>
      <w:pPr>
        <w:pStyle w:val="2"/>
        <w:snapToGrid w:val="0"/>
        <w:spacing w:before="0" w:beforeAutospacing="0" w:after="0" w:afterAutospacing="0" w:line="560" w:lineRule="exact"/>
        <w:jc w:val="center"/>
        <w:rPr>
          <w:rFonts w:hint="default" w:ascii="华文中宋" w:hAnsi="华文中宋" w:eastAsia="华文中宋" w:cs="华文中宋"/>
          <w:bCs/>
          <w:sz w:val="44"/>
          <w:szCs w:val="44"/>
        </w:rPr>
      </w:pPr>
    </w:p>
    <w:p>
      <w:pPr>
        <w:pStyle w:val="2"/>
        <w:snapToGrid w:val="0"/>
        <w:spacing w:before="0" w:beforeAutospacing="0" w:after="0" w:afterAutospacing="0" w:line="560" w:lineRule="exact"/>
        <w:jc w:val="center"/>
        <w:rPr>
          <w:rFonts w:hint="default" w:ascii="华文中宋" w:hAnsi="华文中宋" w:eastAsia="华文中宋" w:cs="华文中宋"/>
          <w:bCs/>
          <w:sz w:val="44"/>
          <w:szCs w:val="44"/>
        </w:rPr>
      </w:pPr>
      <w:r>
        <w:rPr>
          <w:rFonts w:ascii="华文中宋" w:hAnsi="华文中宋" w:eastAsia="华文中宋" w:cs="华文中宋"/>
          <w:bCs/>
          <w:sz w:val="44"/>
          <w:szCs w:val="44"/>
        </w:rPr>
        <w:t>2021年度深圳市实施专利转化专项</w:t>
      </w:r>
    </w:p>
    <w:p>
      <w:pPr>
        <w:pStyle w:val="2"/>
        <w:snapToGrid w:val="0"/>
        <w:spacing w:before="0" w:beforeAutospacing="0" w:after="0" w:afterAutospacing="0" w:line="560" w:lineRule="exact"/>
        <w:jc w:val="center"/>
        <w:rPr>
          <w:rFonts w:hint="default" w:ascii="华文中宋" w:hAnsi="华文中宋" w:eastAsia="华文中宋" w:cs="华文中宋"/>
          <w:bCs/>
          <w:sz w:val="44"/>
          <w:szCs w:val="44"/>
        </w:rPr>
      </w:pPr>
      <w:r>
        <w:rPr>
          <w:rFonts w:ascii="华文中宋" w:hAnsi="华文中宋" w:eastAsia="华文中宋" w:cs="华文中宋"/>
          <w:bCs/>
          <w:sz w:val="44"/>
          <w:szCs w:val="44"/>
        </w:rPr>
        <w:t>后补助项目实施细则</w:t>
      </w:r>
    </w:p>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申报内容</w:t>
      </w:r>
    </w:p>
    <w:p>
      <w:pPr>
        <w:numPr>
          <w:ilvl w:val="255"/>
          <w:numId w:val="0"/>
        </w:numPr>
        <w:snapToGrid w:val="0"/>
        <w:spacing w:line="560" w:lineRule="exact"/>
        <w:ind w:firstLine="640" w:firstLineChars="200"/>
        <w:jc w:val="left"/>
        <w:rPr>
          <w:rFonts w:ascii="仿宋_GB2312" w:hAnsi="Times New Roman" w:eastAsia="仿宋_GB2312"/>
          <w:b/>
          <w:sz w:val="32"/>
          <w:szCs w:val="32"/>
        </w:rPr>
      </w:pPr>
      <w:r>
        <w:rPr>
          <w:rFonts w:hint="eastAsia" w:ascii="仿宋_GB2312" w:hAnsi="华文中宋" w:eastAsia="仿宋_GB2312" w:cs="黑体"/>
          <w:bCs/>
          <w:sz w:val="32"/>
          <w:szCs w:val="32"/>
        </w:rPr>
        <w:t>2021年深圳市实施专利转化专项后补助项目。</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广东省省级财政专项资金管理办法（试行）》（粤府〔2018〕120号）；</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（二）广东省知识产权局 广东省财政厅关于印发《广东省落实专利转化专项计划 助力中小企业创新发展的实施方案（2021—2023年）》的通知；</w:t>
      </w:r>
    </w:p>
    <w:p>
      <w:pPr>
        <w:snapToGrid w:val="0"/>
        <w:spacing w:line="56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（三）</w:t>
      </w:r>
      <w:r>
        <w:rPr>
          <w:rFonts w:hint="eastAsia" w:ascii="仿宋_GB2312" w:hAnsi="Verdana" w:eastAsia="仿宋_GB2312" w:cs="宋体"/>
          <w:color w:val="000000"/>
          <w:kern w:val="0"/>
          <w:sz w:val="32"/>
          <w:szCs w:val="32"/>
        </w:rPr>
        <w:t>《广东省市场监督管理局办公室转发广东省财政厅关于下达第一批中央财政2021年服务业发展资金（知识产权运营服务体系建设）的通知》。</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资助标准</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对中小微企业从高校、科研院所或国有企业获得创新成果实现专利转化运用予以资助，按照不超过实际许可、转让费用的5%进行资助。每个申请人年度资助金额不超过</w:t>
      </w:r>
      <w:r>
        <w:rPr>
          <w:rFonts w:ascii="仿宋_GB2312" w:eastAsia="仿宋_GB2312"/>
          <w:sz w:val="32"/>
          <w:szCs w:val="32"/>
        </w:rPr>
        <w:t>50</w:t>
      </w:r>
      <w:r>
        <w:rPr>
          <w:rFonts w:hint="eastAsia" w:ascii="仿宋_GB2312" w:eastAsia="仿宋_GB2312"/>
          <w:sz w:val="32"/>
          <w:szCs w:val="32"/>
        </w:rPr>
        <w:t>万元。本项目预算总额度</w:t>
      </w:r>
      <w:r>
        <w:rPr>
          <w:rFonts w:ascii="仿宋_GB2312" w:eastAsia="仿宋_GB2312"/>
          <w:sz w:val="32"/>
          <w:szCs w:val="32"/>
        </w:rPr>
        <w:t>361.8</w:t>
      </w:r>
      <w:r>
        <w:rPr>
          <w:rFonts w:hint="eastAsia" w:ascii="仿宋_GB2312" w:eastAsia="仿宋_GB2312"/>
          <w:sz w:val="32"/>
          <w:szCs w:val="32"/>
        </w:rPr>
        <w:t>万元。符合资助条件的所有项目资助总额超出</w:t>
      </w:r>
      <w:r>
        <w:rPr>
          <w:rFonts w:ascii="仿宋_GB2312" w:eastAsia="仿宋_GB2312"/>
          <w:sz w:val="32"/>
          <w:szCs w:val="32"/>
        </w:rPr>
        <w:t>361.8</w:t>
      </w:r>
      <w:r>
        <w:rPr>
          <w:rFonts w:hint="eastAsia" w:ascii="仿宋_GB2312" w:eastAsia="仿宋_GB2312"/>
          <w:sz w:val="32"/>
          <w:szCs w:val="32"/>
        </w:rPr>
        <w:t>万元时，按照项目预算总额度除以经受理符合条件的项目资助金额的比例进行折算。</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申请条件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w:t>
      </w:r>
      <w:r>
        <w:rPr>
          <w:rFonts w:hint="eastAsia" w:ascii="仿宋_GB2312" w:hAnsi="华文中宋" w:eastAsia="仿宋_GB2312" w:cs="黑体"/>
          <w:bCs/>
          <w:sz w:val="32"/>
          <w:szCs w:val="32"/>
        </w:rPr>
        <w:t>实施专利转化专项后补助</w:t>
      </w:r>
      <w:r>
        <w:rPr>
          <w:rFonts w:hint="eastAsia" w:ascii="仿宋_GB2312" w:eastAsia="仿宋_GB2312"/>
          <w:sz w:val="32"/>
          <w:szCs w:val="32"/>
        </w:rPr>
        <w:t>项目申请人应同时满足下列条件：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（一）属于在深圳市行政区域内（含深汕特别合作区）依法登记注册的中小微企业；</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（二）中小微企业获得高校、科研院所或者国有企业专利许可或者转让，并依法备案或者登记的，且专利许可备案时间或者转让登记时间在2</w:t>
      </w:r>
      <w:r>
        <w:rPr>
          <w:rFonts w:ascii="仿宋_GB2312" w:eastAsia="仿宋_GB2312"/>
          <w:sz w:val="32"/>
          <w:szCs w:val="32"/>
        </w:rPr>
        <w:t>021</w:t>
      </w:r>
      <w:r>
        <w:rPr>
          <w:rFonts w:hint="eastAsia" w:ascii="仿宋_GB2312" w:eastAsia="仿宋_GB2312"/>
          <w:sz w:val="32"/>
          <w:szCs w:val="32"/>
        </w:rPr>
        <w:t>年1月1日至项目申报截止日之内。</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申请人应提交以下材料：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（一）项目申请书；</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（二）申请主体资格证明材料；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（三）专利许可、转让的清单，相关合同及备案、登记证明等材料；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（四）实际支付专利许可、转让费用的票据，银行回单等材料。</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不予资助的情形</w:t>
      </w:r>
    </w:p>
    <w:p>
      <w:pPr>
        <w:snapToGrid w:val="0"/>
        <w:spacing w:line="560" w:lineRule="exact"/>
        <w:ind w:firstLine="640" w:firstLineChars="200"/>
        <w:rPr>
          <w:rFonts w:eastAsia="仿宋_GB2312"/>
          <w:b/>
          <w:sz w:val="32"/>
        </w:rPr>
      </w:pPr>
      <w:r>
        <w:rPr>
          <w:rFonts w:hint="eastAsia" w:eastAsia="仿宋_GB2312"/>
          <w:sz w:val="32"/>
        </w:rPr>
        <w:t>申请人有下列情形之一的，不予资助：</w:t>
      </w:r>
    </w:p>
    <w:p>
      <w:pPr>
        <w:snapToGrid w:val="0"/>
        <w:spacing w:line="560" w:lineRule="exact"/>
        <w:ind w:firstLine="640" w:firstLineChars="200"/>
        <w:rPr>
          <w:rFonts w:eastAsia="仿宋_GB2312"/>
          <w:b/>
          <w:sz w:val="32"/>
        </w:rPr>
      </w:pPr>
      <w:r>
        <w:rPr>
          <w:rFonts w:hint="eastAsia" w:eastAsia="仿宋_GB2312"/>
          <w:sz w:val="32"/>
        </w:rPr>
        <w:t>（一）不符合相关法律法规、专项资金管理办法</w:t>
      </w:r>
      <w:r>
        <w:rPr>
          <w:rFonts w:hint="eastAsia" w:ascii="仿宋_GB2312" w:eastAsia="仿宋_GB2312"/>
          <w:bCs/>
          <w:color w:val="000000"/>
          <w:sz w:val="32"/>
          <w:szCs w:val="32"/>
        </w:rPr>
        <w:t>和实施细则要求的</w:t>
      </w:r>
      <w:r>
        <w:rPr>
          <w:rFonts w:hint="eastAsia" w:eastAsia="仿宋_GB2312"/>
          <w:sz w:val="32"/>
        </w:rPr>
        <w:t>；</w:t>
      </w:r>
    </w:p>
    <w:p>
      <w:pPr>
        <w:snapToGrid w:val="0"/>
        <w:spacing w:line="560" w:lineRule="exact"/>
        <w:ind w:firstLine="640" w:firstLineChars="200"/>
        <w:rPr>
          <w:rFonts w:eastAsia="仿宋_GB2312"/>
          <w:b/>
          <w:sz w:val="32"/>
        </w:rPr>
      </w:pPr>
      <w:r>
        <w:rPr>
          <w:rFonts w:hint="eastAsia" w:eastAsia="仿宋_GB2312"/>
          <w:sz w:val="32"/>
        </w:rPr>
        <w:t>（二）被列入市财政专项资金违规、失信信息名单的；</w:t>
      </w:r>
    </w:p>
    <w:p>
      <w:pPr>
        <w:snapToGrid w:val="0"/>
        <w:spacing w:line="560" w:lineRule="exact"/>
        <w:ind w:firstLine="640" w:firstLineChars="200"/>
        <w:rPr>
          <w:rFonts w:eastAsia="仿宋_GB2312"/>
          <w:b/>
          <w:sz w:val="32"/>
        </w:rPr>
      </w:pPr>
      <w:r>
        <w:rPr>
          <w:rFonts w:hint="eastAsia" w:eastAsia="仿宋_GB2312"/>
          <w:sz w:val="32"/>
        </w:rPr>
        <w:t>（三）经查询深圳市信用网，被列入国家有关部门的《严重违法失信企业名单》</w:t>
      </w:r>
      <w:r>
        <w:rPr>
          <w:rFonts w:hint="eastAsia" w:eastAsia="仿宋_GB2312"/>
          <w:sz w:val="32"/>
          <w:lang w:eastAsia="zh-CN"/>
        </w:rPr>
        <w:t>的</w:t>
      </w:r>
      <w:bookmarkStart w:id="0" w:name="_GoBack"/>
      <w:bookmarkEnd w:id="0"/>
      <w:r>
        <w:rPr>
          <w:rFonts w:hint="eastAsia" w:eastAsia="仿宋_GB2312"/>
          <w:sz w:val="32"/>
        </w:rPr>
        <w:t>；</w:t>
      </w:r>
    </w:p>
    <w:p>
      <w:pPr>
        <w:snapToGrid w:val="0"/>
        <w:spacing w:line="560" w:lineRule="exact"/>
        <w:ind w:firstLine="640" w:firstLineChars="200"/>
        <w:rPr>
          <w:rFonts w:eastAsia="仿宋_GB2312"/>
          <w:b/>
          <w:sz w:val="32"/>
        </w:rPr>
      </w:pPr>
      <w:r>
        <w:rPr>
          <w:rFonts w:hint="eastAsia" w:eastAsia="仿宋_GB2312"/>
          <w:sz w:val="32"/>
        </w:rPr>
        <w:t>（四）拒不执行生效的知识产权行政裁决或者司法裁判的，或侵犯他人知识产权构成犯罪的；</w:t>
      </w:r>
    </w:p>
    <w:p>
      <w:pPr>
        <w:snapToGrid w:val="0"/>
        <w:spacing w:line="560" w:lineRule="exact"/>
        <w:ind w:firstLine="640" w:firstLineChars="200"/>
        <w:rPr>
          <w:rFonts w:eastAsia="仿宋_GB2312"/>
          <w:sz w:val="32"/>
        </w:rPr>
      </w:pPr>
      <w:r>
        <w:rPr>
          <w:rFonts w:hint="eastAsia" w:eastAsia="仿宋_GB2312"/>
          <w:sz w:val="32"/>
        </w:rPr>
        <w:t>（五）经查询人民法院公告网，发现已进入破产清算程序等情形的。</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申请材料</w:t>
      </w:r>
    </w:p>
    <w:p>
      <w:pPr>
        <w:pStyle w:val="11"/>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（一）项目申请表</w:t>
      </w:r>
    </w:p>
    <w:p>
      <w:pPr>
        <w:snapToGrid w:val="0"/>
        <w:spacing w:line="560" w:lineRule="exact"/>
        <w:ind w:left="640"/>
        <w:rPr>
          <w:rFonts w:ascii="仿宋_GB2312" w:eastAsia="仿宋_GB2312"/>
          <w:sz w:val="32"/>
          <w:szCs w:val="32"/>
        </w:rPr>
      </w:pPr>
      <w:r>
        <w:rPr>
          <w:rFonts w:hint="eastAsia" w:ascii="仿宋_GB2312" w:eastAsia="仿宋_GB2312"/>
          <w:sz w:val="32"/>
          <w:szCs w:val="32"/>
        </w:rPr>
        <w:t>在申报系统上在线填写项目申报信息。</w:t>
      </w:r>
    </w:p>
    <w:p>
      <w:pPr>
        <w:pStyle w:val="11"/>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（二）申请人主体资格材料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自行申报的，需提交《申报项目委托情况申明》（参照申报系统材料清单自检范本表格模板，以下简称系统模板）、经办人的身份证（正反面）、社保卡（正反面）和近三个月社保缴纳费用明细表（能清晰显示社保缴纳单位全称，且与申请人名称一致），上述材料（原件或复印件）均需加盖申请人清晰公章，提交形式为彩色扫描件（pdf格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系统模板）、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snapToGrid w:val="0"/>
        <w:spacing w:line="360" w:lineRule="auto"/>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申请人应当进入人民法院公告网（https://rmfygg.court.gov.cn/），公告类型选择破产文书进行查询，查询结果为“没有找到符合条件的相关内容”进行全屏截图证明并加盖清晰公章，提交形式为彩色扫描件（pdf格式）。</w:t>
      </w:r>
    </w:p>
    <w:p>
      <w:pPr>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申请人</w:t>
      </w:r>
      <w:r>
        <w:fldChar w:fldCharType="begin"/>
      </w:r>
      <w:r>
        <w:instrText xml:space="preserve"> HYPERLINK </w:instrText>
      </w:r>
      <w:r>
        <w:fldChar w:fldCharType="separate"/>
      </w:r>
      <w:r>
        <w:fldChar w:fldCharType="end"/>
      </w:r>
      <w:r>
        <w:rPr>
          <w:rFonts w:hint="eastAsia" w:ascii="仿宋_GB2312" w:eastAsia="仿宋_GB2312"/>
          <w:sz w:val="32"/>
          <w:szCs w:val="32"/>
        </w:rPr>
        <w:t>为中小微企业的相关证明材料；</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上述第1至第</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项材料，需合并为一个pdf格式文件，上传申报系统。</w:t>
      </w:r>
    </w:p>
    <w:p>
      <w:pPr>
        <w:numPr>
          <w:ilvl w:val="255"/>
          <w:numId w:val="0"/>
        </w:numPr>
        <w:snapToGrid w:val="0"/>
        <w:spacing w:line="560" w:lineRule="exact"/>
        <w:ind w:firstLine="643" w:firstLineChars="200"/>
        <w:rPr>
          <w:rFonts w:ascii="楷体_GB2312" w:eastAsia="楷体_GB2312"/>
          <w:b/>
          <w:sz w:val="32"/>
          <w:szCs w:val="32"/>
        </w:rPr>
      </w:pPr>
      <w:r>
        <w:rPr>
          <w:rFonts w:hint="eastAsia" w:ascii="楷体_GB2312" w:eastAsia="楷体_GB2312"/>
          <w:b/>
          <w:sz w:val="32"/>
          <w:szCs w:val="32"/>
        </w:rPr>
        <w:t>（三）专利许可、转让有关材料</w:t>
      </w:r>
    </w:p>
    <w:p>
      <w:pPr>
        <w:numPr>
          <w:ilvl w:val="255"/>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1.与高校、科研院所、国有企业实施专利许可的：</w:t>
      </w:r>
      <w:r>
        <w:rPr>
          <w:rFonts w:hint="eastAsia" w:ascii="仿宋_GB2312" w:eastAsia="仿宋_GB2312"/>
          <w:color w:val="000000" w:themeColor="text1"/>
          <w:sz w:val="32"/>
          <w:szCs w:val="32"/>
          <w14:textFill>
            <w14:solidFill>
              <w14:schemeClr w14:val="tx1"/>
            </w14:solidFill>
          </w14:textFill>
        </w:rPr>
        <w:t>根据系统下载并填写专利许可清单模板，并加盖清晰公章。清单中涉及的专利许可备案时间应在2</w:t>
      </w:r>
      <w:r>
        <w:rPr>
          <w:rFonts w:ascii="仿宋_GB2312" w:eastAsia="仿宋_GB2312"/>
          <w:color w:val="000000" w:themeColor="text1"/>
          <w:sz w:val="32"/>
          <w:szCs w:val="32"/>
          <w14:textFill>
            <w14:solidFill>
              <w14:schemeClr w14:val="tx1"/>
            </w14:solidFill>
          </w14:textFill>
        </w:rPr>
        <w:t>021</w:t>
      </w:r>
      <w:r>
        <w:rPr>
          <w:rFonts w:hint="eastAsia" w:ascii="仿宋_GB2312" w:eastAsia="仿宋_GB2312"/>
          <w:color w:val="000000" w:themeColor="text1"/>
          <w:sz w:val="32"/>
          <w:szCs w:val="32"/>
          <w14:textFill>
            <w14:solidFill>
              <w14:schemeClr w14:val="tx1"/>
            </w14:solidFill>
          </w14:textFill>
        </w:rPr>
        <w:t>年1月1日以后。提交形式为彩色扫描件（pdf格式），同时提供Excel格式文档。</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需提供专利许可合同、与合同对应的实际支付的专利许可费用发票、转账凭证、专利证书、专利许可备案证明文件，上述证明文件置于同一文件夹内。</w:t>
      </w:r>
    </w:p>
    <w:p>
      <w:pPr>
        <w:numPr>
          <w:ilvl w:val="255"/>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2.与高校、科研院所、国有企业实施专利转让的：</w:t>
      </w:r>
      <w:r>
        <w:rPr>
          <w:rFonts w:hint="eastAsia" w:ascii="仿宋_GB2312" w:eastAsia="仿宋_GB2312"/>
          <w:color w:val="000000" w:themeColor="text1"/>
          <w:sz w:val="32"/>
          <w:szCs w:val="32"/>
          <w14:textFill>
            <w14:solidFill>
              <w14:schemeClr w14:val="tx1"/>
            </w14:solidFill>
          </w14:textFill>
        </w:rPr>
        <w:t>根据系统下载并填写专利转让清单模板，并加盖清晰公章。清单中涉及的专利转让登记时间应在2</w:t>
      </w:r>
      <w:r>
        <w:rPr>
          <w:rFonts w:ascii="仿宋_GB2312" w:eastAsia="仿宋_GB2312"/>
          <w:color w:val="000000" w:themeColor="text1"/>
          <w:sz w:val="32"/>
          <w:szCs w:val="32"/>
          <w14:textFill>
            <w14:solidFill>
              <w14:schemeClr w14:val="tx1"/>
            </w14:solidFill>
          </w14:textFill>
        </w:rPr>
        <w:t>021</w:t>
      </w:r>
      <w:r>
        <w:rPr>
          <w:rFonts w:hint="eastAsia" w:ascii="仿宋_GB2312" w:eastAsia="仿宋_GB2312"/>
          <w:color w:val="000000" w:themeColor="text1"/>
          <w:sz w:val="32"/>
          <w:szCs w:val="32"/>
          <w14:textFill>
            <w14:solidFill>
              <w14:schemeClr w14:val="tx1"/>
            </w14:solidFill>
          </w14:textFill>
        </w:rPr>
        <w:t>年1月1日以后。提交形式为彩色扫描件（pdf格式），同时提供Excel格式文档。</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需提供专利转让合同、与合同对应的实际支付的专利转让费用发票、转账凭证、专利证书、专利转让登记证明文件，上述证明文件置于同一文件夹内。</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3．上述第1至2项证明至少提供一项，并将材料</w:t>
      </w:r>
      <w:r>
        <w:rPr>
          <w:rFonts w:hint="eastAsia" w:ascii="仿宋_GB2312" w:hAnsi="仿宋_GB2312" w:eastAsia="仿宋_GB2312" w:cs="仿宋_GB2312"/>
          <w:sz w:val="32"/>
          <w:szCs w:val="32"/>
        </w:rPr>
        <w:t>置于同一zip格式压缩文档内，以“深圳市***有限公司_</w:t>
      </w:r>
      <w:r>
        <w:rPr>
          <w:rFonts w:hint="eastAsia" w:ascii="仿宋_GB2312" w:eastAsia="仿宋_GB2312"/>
          <w:sz w:val="32"/>
          <w:szCs w:val="32"/>
        </w:rPr>
        <w:t>专利许可、转让有关材料</w:t>
      </w:r>
      <w:r>
        <w:rPr>
          <w:rFonts w:hint="eastAsia" w:ascii="仿宋_GB2312" w:hAnsi="仿宋_GB2312" w:eastAsia="仿宋_GB2312" w:cs="仿宋_GB2312"/>
          <w:sz w:val="32"/>
          <w:szCs w:val="32"/>
        </w:rPr>
        <w:t>”命名并上传至系统。</w:t>
      </w:r>
    </w:p>
    <w:p>
      <w:pPr>
        <w:pStyle w:val="11"/>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（四）必要的相关证明材料</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受理事宜</w:t>
      </w:r>
    </w:p>
    <w:p>
      <w:p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（一）受理机关：</w:t>
      </w:r>
      <w:r>
        <w:rPr>
          <w:rFonts w:hint="eastAsia" w:ascii="仿宋_GB2312" w:eastAsia="仿宋_GB2312"/>
          <w:sz w:val="32"/>
          <w:szCs w:val="32"/>
        </w:rPr>
        <w:t>深圳市市场监督管理局。</w:t>
      </w:r>
    </w:p>
    <w:p>
      <w:pPr>
        <w:numPr>
          <w:ilvl w:val="255"/>
          <w:numId w:val="0"/>
        </w:numPr>
        <w:snapToGrid w:val="0"/>
        <w:spacing w:line="560" w:lineRule="exact"/>
        <w:ind w:firstLine="643" w:firstLineChars="200"/>
        <w:rPr>
          <w:rFonts w:ascii="仿宋_GB2312" w:eastAsia="仿宋_GB2312" w:cs="宋体"/>
          <w:color w:val="000000"/>
          <w:kern w:val="0"/>
          <w:sz w:val="32"/>
          <w:szCs w:val="32"/>
        </w:rPr>
      </w:pPr>
      <w:r>
        <w:rPr>
          <w:rFonts w:hint="eastAsia" w:ascii="楷体_GB2312" w:eastAsia="楷体_GB2312"/>
          <w:b/>
          <w:sz w:val="32"/>
          <w:szCs w:val="32"/>
        </w:rPr>
        <w:t>（二）受理时间：</w:t>
      </w:r>
      <w:r>
        <w:rPr>
          <w:rFonts w:hint="eastAsia" w:ascii="仿宋_GB2312" w:eastAsia="仿宋_GB2312" w:cs="宋体"/>
          <w:color w:val="000000" w:themeColor="text1"/>
          <w:kern w:val="0"/>
          <w:sz w:val="32"/>
          <w:szCs w:val="32"/>
          <w14:textFill>
            <w14:solidFill>
              <w14:schemeClr w14:val="tx1"/>
            </w14:solidFill>
          </w14:textFill>
        </w:rPr>
        <w:t>2021年11月9日至2021年11月23日</w:t>
      </w:r>
      <w:r>
        <w:rPr>
          <w:rFonts w:ascii="仿宋_GB2312" w:eastAsia="仿宋_GB2312" w:cs="宋体"/>
          <w:color w:val="000000" w:themeColor="text1"/>
          <w:kern w:val="0"/>
          <w:sz w:val="32"/>
          <w:szCs w:val="32"/>
          <w14:textFill>
            <w14:solidFill>
              <w14:schemeClr w14:val="tx1"/>
            </w14:solidFill>
          </w14:textFill>
        </w:rPr>
        <w:t>18</w:t>
      </w:r>
      <w:r>
        <w:rPr>
          <w:rFonts w:hint="eastAsia" w:ascii="仿宋_GB2312" w:eastAsia="仿宋_GB2312" w:cs="宋体"/>
          <w:color w:val="000000" w:themeColor="text1"/>
          <w:kern w:val="0"/>
          <w:sz w:val="32"/>
          <w:szCs w:val="32"/>
          <w14:textFill>
            <w14:solidFill>
              <w14:schemeClr w14:val="tx1"/>
            </w14:solidFill>
          </w14:textFill>
        </w:rPr>
        <w:t>:00截止</w:t>
      </w:r>
      <w:r>
        <w:rPr>
          <w:rFonts w:hint="eastAsia" w:ascii="仿宋_GB2312" w:eastAsia="仿宋_GB2312" w:cs="宋体"/>
          <w:color w:val="000000"/>
          <w:kern w:val="0"/>
          <w:sz w:val="32"/>
          <w:szCs w:val="32"/>
        </w:rPr>
        <w:t>。</w:t>
      </w:r>
    </w:p>
    <w:p>
      <w:pPr>
        <w:numPr>
          <w:ilvl w:val="255"/>
          <w:numId w:val="0"/>
        </w:numPr>
        <w:snapToGrid w:val="0"/>
        <w:spacing w:line="560" w:lineRule="exact"/>
        <w:ind w:firstLine="643" w:firstLineChars="200"/>
        <w:rPr>
          <w:rFonts w:ascii="楷体_GB2312" w:eastAsia="楷体_GB2312"/>
          <w:b/>
          <w:sz w:val="32"/>
          <w:szCs w:val="32"/>
        </w:rPr>
      </w:pPr>
      <w:r>
        <w:rPr>
          <w:rFonts w:hint="eastAsia" w:ascii="楷体_GB2312" w:eastAsia="楷体_GB2312"/>
          <w:b/>
          <w:sz w:val="32"/>
          <w:szCs w:val="32"/>
        </w:rPr>
        <w:t>（三）申报方式</w:t>
      </w:r>
    </w:p>
    <w:p>
      <w:pPr>
        <w:numPr>
          <w:ilvl w:val="255"/>
          <w:numId w:val="0"/>
        </w:numPr>
        <w:spacing w:line="560" w:lineRule="exact"/>
        <w:ind w:firstLine="640" w:firstLineChars="200"/>
        <w:rPr>
          <w:rFonts w:ascii="仿宋_GB2312" w:eastAsia="仿宋_GB2312"/>
          <w:sz w:val="32"/>
          <w:szCs w:val="32"/>
        </w:rPr>
      </w:pPr>
      <w:r>
        <w:rPr>
          <w:rFonts w:hint="eastAsia" w:ascii="仿宋_GB2312" w:eastAsia="仿宋_GB2312"/>
          <w:kern w:val="0"/>
          <w:sz w:val="32"/>
          <w:szCs w:val="32"/>
        </w:rPr>
        <w:t>实行网上在线申报，</w:t>
      </w:r>
      <w:r>
        <w:rPr>
          <w:rFonts w:hint="eastAsia" w:ascii="仿宋_GB2312" w:eastAsia="仿宋_GB2312" w:cs="宋体"/>
          <w:color w:val="000000"/>
          <w:kern w:val="0"/>
          <w:sz w:val="32"/>
          <w:szCs w:val="32"/>
        </w:rPr>
        <w:t>申请人于受理时间内，在指定申报系统提交资料完成申报即可，无需提交纸质材料。申报系统网址为：https://amr.sz.gov.cn/mrasgas/sfc-company/#/apply/check-info?itemId=MB2C927393144212502F001440300，</w:t>
      </w:r>
      <w:r>
        <w:rPr>
          <w:rFonts w:hint="eastAsia" w:ascii="仿宋_GB2312" w:eastAsia="仿宋_GB2312"/>
          <w:sz w:val="32"/>
          <w:szCs w:val="32"/>
        </w:rPr>
        <w:t>建议使用谷歌、360（极速模式）、IE 11（或以上）等浏览器软件。</w:t>
      </w:r>
    </w:p>
    <w:p>
      <w:pPr>
        <w:numPr>
          <w:ilvl w:val="255"/>
          <w:numId w:val="0"/>
        </w:numPr>
        <w:snapToGrid w:val="0"/>
        <w:spacing w:line="560" w:lineRule="exact"/>
        <w:ind w:firstLine="640" w:firstLineChars="200"/>
        <w:rPr>
          <w:rFonts w:ascii="仿宋_GB2312" w:hAnsi="Times New Roman" w:eastAsia="仿宋_GB2312"/>
          <w:kern w:val="0"/>
          <w:sz w:val="32"/>
          <w:szCs w:val="32"/>
        </w:rPr>
      </w:pPr>
      <w:r>
        <w:rPr>
          <w:rFonts w:hint="eastAsia" w:ascii="仿宋_GB2312" w:eastAsia="仿宋_GB2312"/>
          <w:sz w:val="32"/>
          <w:szCs w:val="32"/>
        </w:rPr>
        <w:t>登录申报系统后，选择办理情形“</w:t>
      </w:r>
      <w:r>
        <w:rPr>
          <w:rFonts w:hint="eastAsia" w:ascii="仿宋_GB2312" w:hAnsi="华文中宋" w:eastAsia="仿宋_GB2312" w:cs="黑体"/>
          <w:bCs/>
          <w:sz w:val="32"/>
          <w:szCs w:val="32"/>
        </w:rPr>
        <w:t>2021年深圳市实施专利转化专项后补助项目</w:t>
      </w:r>
      <w:r>
        <w:rPr>
          <w:rFonts w:hint="eastAsia" w:ascii="仿宋_GB2312" w:eastAsia="仿宋_GB2312"/>
          <w:sz w:val="32"/>
          <w:szCs w:val="32"/>
        </w:rPr>
        <w:t>”，阅读并勾选同意《广东省网上办事大厅服务条款》内容，点击“下一步”进入申报；或者，登录广东省政务网，在“切换区域”和“部门”分别选择“深圳市”和“市场监督管理局”，点击“公共服务”，找到“</w:t>
      </w:r>
      <w:r>
        <w:rPr>
          <w:rFonts w:hint="eastAsia" w:ascii="仿宋_GB2312" w:hAnsi="华文中宋" w:eastAsia="仿宋_GB2312" w:cs="黑体"/>
          <w:bCs/>
          <w:sz w:val="32"/>
          <w:szCs w:val="32"/>
        </w:rPr>
        <w:t>2021年深圳市实施专利转化专项后补助项目</w:t>
      </w:r>
      <w:r>
        <w:rPr>
          <w:rFonts w:hint="eastAsia" w:ascii="仿宋_GB2312" w:eastAsia="仿宋_GB2312"/>
          <w:sz w:val="32"/>
          <w:szCs w:val="32"/>
        </w:rPr>
        <w:t>”申报，或者直接搜索“</w:t>
      </w:r>
      <w:r>
        <w:rPr>
          <w:rFonts w:hint="eastAsia" w:ascii="仿宋_GB2312" w:hAnsi="华文中宋" w:eastAsia="仿宋_GB2312" w:cs="黑体"/>
          <w:bCs/>
          <w:sz w:val="32"/>
          <w:szCs w:val="32"/>
        </w:rPr>
        <w:t>2021年深圳市实施专利转化专项后补助项目</w:t>
      </w:r>
      <w:r>
        <w:rPr>
          <w:rFonts w:hint="eastAsia" w:ascii="仿宋_GB2312" w:eastAsia="仿宋_GB2312"/>
          <w:sz w:val="32"/>
          <w:szCs w:val="32"/>
        </w:rPr>
        <w:t>”，选中后进入申报页面。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rPr>
        <w:t>六</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numPr>
          <w:ilvl w:val="255"/>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申报系统技术支持电话： 88670184、13714020142、13480726201。</w:t>
      </w:r>
    </w:p>
    <w:p>
      <w:pPr>
        <w:numPr>
          <w:ilvl w:val="255"/>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申报业务咨询电话：83070173、83070752。</w:t>
      </w:r>
    </w:p>
    <w:p>
      <w:pPr>
        <w:numPr>
          <w:ilvl w:val="255"/>
          <w:numId w:val="0"/>
        </w:num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办公时间：星期一至星期五（法定节假日除外）</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sz w:val="32"/>
          <w:szCs w:val="32"/>
        </w:rPr>
        <w:t>上午09:00-12:00，下午14:00-18:00。</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cs="仿宋_GB2312"/>
          <w:b w:val="0"/>
          <w:sz w:val="32"/>
          <w:szCs w:val="32"/>
        </w:rPr>
        <w:t>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办理程序与注意事项</w:t>
      </w:r>
    </w:p>
    <w:p>
      <w:pPr>
        <w:pStyle w:val="11"/>
        <w:numPr>
          <w:ilvl w:val="255"/>
          <w:numId w:val="0"/>
        </w:numPr>
        <w:snapToGrid w:val="0"/>
        <w:spacing w:line="560" w:lineRule="exact"/>
        <w:ind w:firstLine="643" w:firstLineChars="200"/>
        <w:rPr>
          <w:rFonts w:ascii="楷体_GB2312" w:eastAsia="楷体_GB2312"/>
          <w:sz w:val="32"/>
        </w:rPr>
      </w:pPr>
      <w:r>
        <w:rPr>
          <w:rFonts w:hint="eastAsia" w:ascii="楷体_GB2312" w:eastAsia="楷体_GB2312"/>
          <w:b/>
          <w:sz w:val="32"/>
        </w:rPr>
        <w:t>（一）办理程序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市市场监管局发布申报通知——申请人网上申报（通过申报系统在线提交电子申请材料）——市市场监管局受理初审（含可能发生的补正程序）——协同相关部门核对数据、核查诚信情况——资助方案社会公示（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11"/>
        <w:numPr>
          <w:ilvl w:val="255"/>
          <w:numId w:val="0"/>
        </w:numPr>
        <w:snapToGrid w:val="0"/>
        <w:spacing w:line="560" w:lineRule="exact"/>
        <w:ind w:firstLine="643" w:firstLineChars="200"/>
        <w:rPr>
          <w:rFonts w:ascii="楷体_GB2312" w:eastAsia="楷体_GB2312"/>
          <w:sz w:val="32"/>
        </w:rPr>
      </w:pPr>
      <w:r>
        <w:rPr>
          <w:rFonts w:hint="eastAsia" w:ascii="楷体_GB2312" w:eastAsia="楷体_GB2312"/>
          <w:b/>
          <w:sz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合规提示</w:t>
      </w:r>
    </w:p>
    <w:p>
      <w:pPr>
        <w:pStyle w:val="2"/>
        <w:numPr>
          <w:ilvl w:val="0"/>
          <w:numId w:val="2"/>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（二）根据上述规定，申请人申请资助时必须作出合规承诺（在申报系统中操作），否则不予受理。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年审或年检</w:t>
      </w:r>
    </w:p>
    <w:p>
      <w:pPr>
        <w:snapToGrid w:val="0"/>
        <w:spacing w:line="560" w:lineRule="exact"/>
        <w:ind w:firstLine="640" w:firstLineChars="200"/>
        <w:jc w:val="left"/>
      </w:pPr>
      <w:r>
        <w:rPr>
          <w:rFonts w:hint="eastAsia" w:ascii="仿宋_GB2312" w:eastAsia="仿宋_GB2312"/>
          <w:sz w:val="32"/>
          <w:szCs w:val="32"/>
        </w:rPr>
        <w:t>无年审、年检。</w:t>
      </w:r>
    </w:p>
    <w:p>
      <w:pPr>
        <w:snapToGrid w:val="0"/>
        <w:spacing w:line="560" w:lineRule="exact"/>
        <w:ind w:firstLine="640" w:firstLineChars="200"/>
        <w:jc w:val="left"/>
        <w:rPr>
          <w:rFonts w:ascii="仿宋_GB2312" w:eastAsia="仿宋_GB2312"/>
          <w:bCs/>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12"/>
    <w:rsid w:val="00147D99"/>
    <w:rsid w:val="0016214D"/>
    <w:rsid w:val="00224D0F"/>
    <w:rsid w:val="00357919"/>
    <w:rsid w:val="003A0720"/>
    <w:rsid w:val="00445E7B"/>
    <w:rsid w:val="004C741F"/>
    <w:rsid w:val="00654B01"/>
    <w:rsid w:val="006D2F12"/>
    <w:rsid w:val="007670A9"/>
    <w:rsid w:val="008B04FD"/>
    <w:rsid w:val="00916A04"/>
    <w:rsid w:val="00B03057"/>
    <w:rsid w:val="00B3360E"/>
    <w:rsid w:val="00C95C5F"/>
    <w:rsid w:val="00FE58A8"/>
    <w:rsid w:val="05791C7A"/>
    <w:rsid w:val="068E3E34"/>
    <w:rsid w:val="0BA3547D"/>
    <w:rsid w:val="158A7BC7"/>
    <w:rsid w:val="185D309F"/>
    <w:rsid w:val="287B5A20"/>
    <w:rsid w:val="2A260C1E"/>
    <w:rsid w:val="329F7193"/>
    <w:rsid w:val="525A66C9"/>
    <w:rsid w:val="54A45FAB"/>
    <w:rsid w:val="5E200865"/>
    <w:rsid w:val="5FFF1CFB"/>
    <w:rsid w:val="6D5A4BD4"/>
    <w:rsid w:val="6FA1759B"/>
    <w:rsid w:val="741F0102"/>
    <w:rsid w:val="794B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paragraph" w:styleId="11">
    <w:name w:val="List Paragraph"/>
    <w:basedOn w:val="1"/>
    <w:unhideWhenUsed/>
    <w:qFormat/>
    <w:uiPriority w:val="99"/>
    <w:pPr>
      <w:ind w:firstLine="420" w:firstLineChars="200"/>
    </w:pPr>
  </w:style>
  <w:style w:type="character" w:customStyle="1" w:styleId="12">
    <w:name w:val="页眉 字符"/>
    <w:basedOn w:val="9"/>
    <w:link w:val="6"/>
    <w:qFormat/>
    <w:uiPriority w:val="0"/>
    <w:rPr>
      <w:kern w:val="2"/>
      <w:sz w:val="18"/>
      <w:szCs w:val="18"/>
    </w:rPr>
  </w:style>
  <w:style w:type="character" w:customStyle="1" w:styleId="13">
    <w:name w:val="批注文字 字符"/>
    <w:basedOn w:val="9"/>
    <w:link w:val="3"/>
    <w:qFormat/>
    <w:uiPriority w:val="0"/>
    <w:rPr>
      <w:kern w:val="2"/>
      <w:sz w:val="21"/>
      <w:szCs w:val="22"/>
    </w:rPr>
  </w:style>
  <w:style w:type="character" w:customStyle="1" w:styleId="14">
    <w:name w:val="批注主题 字符"/>
    <w:basedOn w:val="13"/>
    <w:link w:val="7"/>
    <w:qFormat/>
    <w:uiPriority w:val="0"/>
    <w:rPr>
      <w:b/>
      <w:bCs/>
      <w:kern w:val="2"/>
      <w:sz w:val="21"/>
      <w:szCs w:val="22"/>
    </w:rPr>
  </w:style>
  <w:style w:type="character" w:customStyle="1" w:styleId="15">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473</Words>
  <Characters>2697</Characters>
  <Lines>22</Lines>
  <Paragraphs>6</Paragraphs>
  <TotalTime>0</TotalTime>
  <ScaleCrop>false</ScaleCrop>
  <LinksUpToDate>false</LinksUpToDate>
  <CharactersWithSpaces>3164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2021-11-05T09:22:00Z</dcterms:created>
  <dc:creator>liyang3</dc:creator>
  <cp:lastModifiedBy>李杨</cp:lastModifiedBy>
  <dcterms:modified xsi:type="dcterms:W3CDTF">2021-11-09T08:09:07Z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C0A3E3FBBE4F4851B5F512169C0B09ED</vt:lpwstr>
  </property>
</Properties>
</file>