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  <w:t>第</w:t>
      </w: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val="en-US" w:eastAsia="zh-CN"/>
        </w:rPr>
        <w:t>六</w:t>
      </w: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  <w:t>届</w:t>
      </w: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</w:rPr>
        <w:t>中国创新挑战赛工作</w:t>
      </w: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" w:cs="Times New Roman"/>
          <w:sz w:val="32"/>
          <w:szCs w:val="32"/>
        </w:rPr>
        <w:t>贯彻落实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党的十九大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十九届二中、三中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四中、五中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加快建立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以需求为引导、企业为主体、市场为导向、产学研深度融合的技术创新体系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搭建需求引导的科技成果转化对接平台，在总结前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届中国创新挑战赛工作经验的基础上，在科技部的指导下，科技部火炬中心将联合有关地方科技管理部门共同举办第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届中国创新挑战赛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（以下简称“挑战赛”）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为了规范有关赛事工作流程，特制定第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届中国挑战赛工作方案，请赛事承办单位按工作方案开展工作。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组织机构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挑战赛在科技部指导下，由科技部火炬中心和地方科技主管部门等承办各项赛事。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科技部火炬中心主要负责审定工作计划，建设、运行挑战赛官网和平台，协调各地赛事安排，开展赛事宣传、培训和监督、评价等工作。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地方科技主管部门等主要负责提出辖区赛事重点领域，制定实施计划，组织各项赛事，并研究制定有关支持和补助政策等工作；副省级城市及地、县人民政府等作为地方承办单位具体承办赛事工作。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lang w:val="en-US" w:eastAsia="zh-CN"/>
        </w:rPr>
        <w:t>赛事申办</w:t>
      </w: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（一）提出申请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各省级科技管理部门根据本地实际情况，申请开展中国创新挑战赛。</w:t>
      </w: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（二）确定名单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科技部火炬中心根据各地方提出的工作定位、工作条件、工作计划及组织保障措施，参考赛事领域、需求质量、时间安排和办赛经验等因素，研究确定第六届中国创新挑战赛的承办单位。</w:t>
      </w: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（三）正式启动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科技部印发通知，正式启动中国创新挑战赛。各承办单位根据赛事工作方案，开展相关工作。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三、办赛</w:t>
      </w:r>
      <w:r>
        <w:rPr>
          <w:rFonts w:hint="default" w:ascii="黑体" w:hAnsi="黑体" w:eastAsia="黑体" w:cs="黑体"/>
          <w:sz w:val="32"/>
          <w:lang w:val="en-US" w:eastAsia="zh-CN"/>
        </w:rPr>
        <w:t>流程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（一）需求征集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承办单位面向本区域开展需求征集工作，并组织专家团队或委托服务机构对需求进行逐一分析梳理，提出综合建议。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（二）需求发布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承办单位</w:t>
      </w:r>
      <w:r>
        <w:rPr>
          <w:rFonts w:hint="eastAsia" w:ascii="仿宋" w:hAnsi="仿宋" w:eastAsia="仿宋" w:cs="仿宋"/>
          <w:sz w:val="32"/>
          <w:lang w:val="en-US" w:eastAsia="zh-CN"/>
        </w:rPr>
        <w:t>需将所有公开发布的需求按标准格式报送中国创新挑战赛官方平台（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challenge.chinatorch.gov.cn</w:t>
      </w:r>
      <w:r>
        <w:rPr>
          <w:rFonts w:hint="eastAsia" w:ascii="仿宋" w:hAnsi="仿宋" w:eastAsia="仿宋" w:cs="仿宋"/>
          <w:sz w:val="32"/>
          <w:lang w:val="en-US" w:eastAsia="zh-CN"/>
        </w:rPr>
        <w:t>），并</w:t>
      </w:r>
      <w:r>
        <w:rPr>
          <w:rFonts w:hint="eastAsia" w:ascii="仿宋" w:hAnsi="仿宋" w:eastAsia="仿宋" w:cs="仿宋"/>
          <w:sz w:val="32"/>
        </w:rPr>
        <w:t>通过相关媒体、科技平台</w:t>
      </w:r>
      <w:r>
        <w:rPr>
          <w:rFonts w:hint="eastAsia" w:ascii="仿宋" w:hAnsi="仿宋" w:eastAsia="仿宋" w:cs="仿宋"/>
          <w:sz w:val="32"/>
          <w:lang w:val="en-US" w:eastAsia="zh-CN"/>
        </w:rPr>
        <w:t>等多种手段</w:t>
      </w:r>
      <w:r>
        <w:rPr>
          <w:rFonts w:hint="eastAsia" w:ascii="仿宋" w:hAnsi="仿宋" w:eastAsia="仿宋" w:cs="仿宋"/>
          <w:sz w:val="32"/>
        </w:rPr>
        <w:t>向社会公开发布和推送。科技部火炬中心开展需求集中发布工作，并通过各类平台、媒体、网络等渠道进行广泛推送。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（三）解决方案征集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承办单位发布“挑战须知”，面向全社会征集挑战者，也可通过知识产权检索、成果库精准匹配等方式，积极寻找、</w:t>
      </w:r>
      <w:r>
        <w:rPr>
          <w:rFonts w:hint="eastAsia" w:ascii="仿宋" w:hAnsi="仿宋" w:eastAsia="仿宋" w:cs="仿宋"/>
          <w:sz w:val="32"/>
          <w:lang w:val="en-US" w:eastAsia="zh-CN"/>
        </w:rPr>
        <w:t>动员和邀请</w:t>
      </w:r>
      <w:r>
        <w:rPr>
          <w:rFonts w:hint="eastAsia" w:ascii="仿宋" w:hAnsi="仿宋" w:eastAsia="仿宋" w:cs="仿宋"/>
          <w:sz w:val="32"/>
        </w:rPr>
        <w:t>社会各界的技术持有者参赛。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（四）需求对接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承办单位围绕本区域内征集的所有需求，开展形式多样的对接服务，做到每个需求都有回应、力争得以解决。如有合作意向，应签订意向合作协议。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经充分对接，仍引发激烈竞争致使需求方难以自主选择最佳解决方案时，可以通过现场赛形式进一步对解决方案进行评估和评比。现场赛</w:t>
      </w:r>
      <w:r>
        <w:rPr>
          <w:rFonts w:hint="eastAsia" w:ascii="仿宋" w:hAnsi="仿宋" w:eastAsia="仿宋" w:cs="仿宋"/>
          <w:sz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</w:rPr>
        <w:t>分为竞争对接和现场比拼两个</w:t>
      </w:r>
      <w:r>
        <w:rPr>
          <w:rFonts w:hint="eastAsia" w:ascii="仿宋" w:hAnsi="仿宋" w:eastAsia="仿宋" w:cs="仿宋"/>
          <w:sz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</w:rPr>
        <w:t>。需求方</w:t>
      </w:r>
      <w:r>
        <w:rPr>
          <w:rFonts w:hint="eastAsia" w:ascii="仿宋" w:hAnsi="仿宋" w:eastAsia="仿宋" w:cs="仿宋"/>
          <w:sz w:val="32"/>
          <w:lang w:val="en-US" w:eastAsia="zh-CN"/>
        </w:rPr>
        <w:t>综合解决方案的技术性、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匹配度和合作前景等方面，</w:t>
      </w:r>
      <w:r>
        <w:rPr>
          <w:rFonts w:hint="eastAsia" w:ascii="仿宋" w:hAnsi="仿宋" w:eastAsia="仿宋" w:cs="仿宋"/>
          <w:sz w:val="32"/>
          <w:lang w:val="en-US" w:eastAsia="zh-CN"/>
        </w:rPr>
        <w:t>选择</w:t>
      </w:r>
      <w:r>
        <w:rPr>
          <w:rFonts w:hint="eastAsia" w:ascii="仿宋" w:hAnsi="仿宋" w:eastAsia="仿宋" w:cs="仿宋"/>
          <w:sz w:val="32"/>
        </w:rPr>
        <w:t xml:space="preserve">确定合作方，并签订意向合作协议。 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（五）奖励支持与服务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1</w:t>
      </w:r>
      <w:r>
        <w:rPr>
          <w:rFonts w:ascii="Times New Roman" w:hAnsi="Times New Roman" w:eastAsia="仿宋" w:cs="Times New Roman"/>
          <w:sz w:val="32"/>
        </w:rPr>
        <w:t>.</w:t>
      </w:r>
      <w:r>
        <w:rPr>
          <w:rFonts w:hint="eastAsia" w:ascii="仿宋" w:hAnsi="仿宋" w:eastAsia="仿宋" w:cs="仿宋"/>
          <w:sz w:val="32"/>
          <w:lang w:val="en-US" w:eastAsia="zh-CN"/>
        </w:rPr>
        <w:t>在挑战赛中</w:t>
      </w:r>
      <w:r>
        <w:rPr>
          <w:rFonts w:hint="eastAsia" w:ascii="仿宋" w:hAnsi="仿宋" w:eastAsia="仿宋" w:cs="仿宋"/>
          <w:sz w:val="32"/>
        </w:rPr>
        <w:t>成功对接的需求方，可按所在地技术成果转移转化相关政策给予奖励或补助；签订技术合同并形成产学研合作项目</w:t>
      </w:r>
      <w:r>
        <w:rPr>
          <w:rFonts w:hint="eastAsia" w:ascii="仿宋" w:hAnsi="仿宋" w:eastAsia="仿宋" w:cs="仿宋"/>
          <w:sz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</w:rPr>
        <w:t>，可优先纳入地方科技计划给予支持。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2</w:t>
      </w:r>
      <w:r>
        <w:rPr>
          <w:rFonts w:ascii="Times New Roman" w:hAnsi="Times New Roman" w:eastAsia="仿宋" w:cs="Times New Roman"/>
          <w:sz w:val="32"/>
        </w:rPr>
        <w:t>.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对</w:t>
      </w:r>
      <w:r>
        <w:rPr>
          <w:rFonts w:hint="eastAsia" w:ascii="仿宋" w:hAnsi="仿宋" w:eastAsia="仿宋" w:cs="仿宋"/>
          <w:sz w:val="32"/>
        </w:rPr>
        <w:t>挑战赛中胜出的挑战者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应</w:t>
      </w:r>
      <w:r>
        <w:rPr>
          <w:rFonts w:hint="eastAsia" w:ascii="仿宋" w:hAnsi="仿宋" w:eastAsia="仿宋" w:cs="仿宋"/>
          <w:sz w:val="32"/>
          <w:lang w:val="en-US" w:eastAsia="zh-CN"/>
        </w:rPr>
        <w:t>视情给予</w:t>
      </w:r>
      <w:r>
        <w:rPr>
          <w:rFonts w:hint="eastAsia" w:ascii="仿宋" w:hAnsi="仿宋" w:eastAsia="仿宋" w:cs="仿宋"/>
          <w:sz w:val="32"/>
        </w:rPr>
        <w:t>一定额度的资金奖励。奖励资金原则上由需求方支付，仅用作奖励挑战者，不作为技术转让、技术许可或其他独占性合作的强制条件。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3</w:t>
      </w:r>
      <w:r>
        <w:rPr>
          <w:rFonts w:ascii="Times New Roman" w:hAnsi="Times New Roman" w:eastAsia="仿宋" w:cs="Times New Roman"/>
          <w:sz w:val="32"/>
        </w:rPr>
        <w:t>.</w:t>
      </w:r>
      <w:r>
        <w:rPr>
          <w:rFonts w:hint="eastAsia" w:ascii="仿宋" w:hAnsi="仿宋" w:eastAsia="仿宋" w:cs="仿宋"/>
          <w:sz w:val="32"/>
        </w:rPr>
        <w:t>承办单位整合相关资源，提供包括科技政策咨询、企业战略咨询、知识产权</w:t>
      </w:r>
      <w:r>
        <w:rPr>
          <w:rFonts w:hint="eastAsia" w:ascii="仿宋" w:hAnsi="仿宋" w:eastAsia="仿宋" w:cs="仿宋"/>
          <w:sz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</w:rPr>
        <w:t>技术交易等服务，并进行后续跟踪与效果评价。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lang w:eastAsia="zh-CN"/>
        </w:rPr>
      </w:pPr>
      <w:r>
        <w:rPr>
          <w:rFonts w:hint="eastAsia" w:ascii="楷体" w:hAnsi="楷体" w:eastAsia="楷体" w:cs="楷体"/>
          <w:sz w:val="32"/>
        </w:rPr>
        <w:t>（六）总结与评价</w:t>
      </w:r>
      <w:r>
        <w:rPr>
          <w:rFonts w:hint="eastAsia" w:ascii="楷体" w:hAnsi="楷体" w:eastAsia="楷体" w:cs="楷体"/>
          <w:sz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承办单位要全面梳理挑战赛实施情况，认真总结经验与成效，分析不足和原因，提出相关建议和意见，报送科技部火炬中心。</w:t>
      </w:r>
      <w:r>
        <w:rPr>
          <w:rFonts w:hint="eastAsia" w:ascii="仿宋" w:hAnsi="仿宋" w:eastAsia="仿宋" w:cs="仿宋"/>
          <w:sz w:val="32"/>
          <w:lang w:val="en-US" w:eastAsia="zh-CN"/>
        </w:rPr>
        <w:t>科技部</w:t>
      </w:r>
      <w:r>
        <w:rPr>
          <w:rFonts w:hint="eastAsia" w:ascii="仿宋" w:hAnsi="仿宋" w:eastAsia="仿宋" w:cs="仿宋"/>
          <w:sz w:val="32"/>
        </w:rPr>
        <w:t>火炬中心</w:t>
      </w:r>
      <w:r>
        <w:rPr>
          <w:rFonts w:hint="eastAsia" w:ascii="仿宋" w:hAnsi="仿宋" w:eastAsia="仿宋" w:cs="仿宋"/>
          <w:sz w:val="32"/>
          <w:lang w:val="en-US" w:eastAsia="zh-CN"/>
        </w:rPr>
        <w:t>视情对各办赛地赛事组织管理情况进行评价，评价结果作为下一年度申办的评价参考。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46088"/>
    <w:rsid w:val="4EE4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2021-03-11T03:10:00Z</dcterms:created>
  <dc:creator>Administrator</dc:creator>
  <cp:lastModifiedBy>Administrator</cp:lastModifiedBy>
  <dcterms:modified xsi:type="dcterms:W3CDTF">2021-03-11T03:10:50Z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