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深圳市商务局2022年电子商务创新发展</w:t>
      </w:r>
    </w:p>
    <w:p>
      <w:pPr>
        <w:spacing w:line="56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扶持计划电商扶贫奖励项目申报指南</w:t>
      </w: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spacing w:line="560" w:lineRule="exact"/>
        <w:ind w:firstLine="640" w:firstLineChars="200"/>
        <w:rPr>
          <w:rFonts w:ascii="仿宋_GB2312" w:eastAsia="仿宋_GB2312"/>
          <w:sz w:val="32"/>
          <w:szCs w:val="32"/>
        </w:rPr>
      </w:pPr>
      <w:r>
        <w:rPr>
          <w:rFonts w:hint="eastAsia" w:ascii="仿宋_GB2312" w:hAnsi="楷体_GB2312" w:eastAsia="仿宋_GB2312" w:cs="楷体_GB2312"/>
          <w:bCs/>
          <w:sz w:val="32"/>
          <w:szCs w:val="32"/>
        </w:rPr>
        <w:t>支持</w:t>
      </w:r>
      <w:r>
        <w:rPr>
          <w:rFonts w:hint="eastAsia" w:ascii="仿宋_GB2312" w:eastAsia="仿宋_GB2312"/>
          <w:sz w:val="32"/>
          <w:szCs w:val="32"/>
        </w:rPr>
        <w:t>电子商务平台企业</w:t>
      </w:r>
      <w:r>
        <w:rPr>
          <w:rFonts w:hint="eastAsia" w:ascii="仿宋_GB2312" w:hAnsi="楷体_GB2312" w:eastAsia="仿宋_GB2312" w:cs="楷体_GB2312"/>
          <w:bCs/>
          <w:sz w:val="32"/>
          <w:szCs w:val="32"/>
        </w:rPr>
        <w:t>积极参与乡村振兴和协作交流，拓宽</w:t>
      </w:r>
      <w:r>
        <w:rPr>
          <w:rFonts w:hint="eastAsia" w:ascii="仿宋_GB2312" w:eastAsia="仿宋_GB2312"/>
          <w:sz w:val="32"/>
          <w:szCs w:val="32"/>
        </w:rPr>
        <w:t>农产品流通和销售渠道。</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（一）政策依据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1.《深圳市关于推动电子商务加快发展的若干措施》（深府办规〔2020〕9号）。</w:t>
      </w:r>
    </w:p>
    <w:p>
      <w:pPr>
        <w:spacing w:line="560" w:lineRule="exact"/>
        <w:ind w:firstLine="640" w:firstLineChars="200"/>
        <w:rPr>
          <w:rFonts w:ascii="仿宋_GB2312" w:eastAsia="仿宋_GB2312"/>
          <w:sz w:val="32"/>
          <w:szCs w:val="32"/>
        </w:rPr>
      </w:pPr>
      <w:r>
        <w:rPr>
          <w:rFonts w:hint="eastAsia" w:ascii="仿宋_GB2312" w:hAnsi="仿宋_GB2312"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深圳市关于推动电子商务加快发展的若干措施</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实施细则》（深</w:t>
      </w:r>
      <w:r>
        <w:rPr>
          <w:rFonts w:hint="eastAsia" w:ascii="仿宋_GB2312" w:eastAsia="仿宋_GB2312"/>
          <w:sz w:val="32"/>
          <w:szCs w:val="32"/>
        </w:rPr>
        <w:t>商务规〔2021〕2号）。</w:t>
      </w:r>
    </w:p>
    <w:p>
      <w:pPr>
        <w:spacing w:line="56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sz w:val="32"/>
          <w:szCs w:val="32"/>
        </w:rPr>
        <w:t>（二）管理依据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《深圳市商务发展专项资金管理办法》（深商务规〔2020〕2号）。</w:t>
      </w:r>
    </w:p>
    <w:p>
      <w:pPr>
        <w:spacing w:line="560" w:lineRule="exact"/>
        <w:ind w:firstLine="630"/>
        <w:rPr>
          <w:rFonts w:ascii="黑体" w:hAnsi="黑体" w:eastAsia="黑体"/>
          <w:sz w:val="32"/>
          <w:szCs w:val="32"/>
        </w:rPr>
      </w:pPr>
      <w:r>
        <w:rPr>
          <w:rFonts w:hint="eastAsia" w:ascii="黑体" w:hAnsi="黑体" w:eastAsia="黑体"/>
          <w:sz w:val="32"/>
          <w:szCs w:val="32"/>
        </w:rPr>
        <w:t>三、支持数量和支持方式</w:t>
      </w:r>
    </w:p>
    <w:p>
      <w:pPr>
        <w:spacing w:line="560" w:lineRule="exact"/>
        <w:ind w:firstLine="630"/>
        <w:rPr>
          <w:rFonts w:ascii="楷体_GB2312" w:eastAsia="楷体_GB2312"/>
          <w:bCs/>
          <w:sz w:val="32"/>
          <w:szCs w:val="32"/>
        </w:rPr>
      </w:pPr>
      <w:r>
        <w:rPr>
          <w:rFonts w:hint="eastAsia" w:ascii="楷体_GB2312" w:eastAsia="楷体_GB2312"/>
          <w:bCs/>
          <w:sz w:val="32"/>
          <w:szCs w:val="32"/>
        </w:rPr>
        <w:t>（一）支持数量</w:t>
      </w:r>
    </w:p>
    <w:p>
      <w:pPr>
        <w:spacing w:line="560" w:lineRule="exact"/>
        <w:ind w:firstLine="640"/>
        <w:rPr>
          <w:rFonts w:ascii="仿宋_GB2312" w:eastAsia="仿宋_GB2312"/>
          <w:sz w:val="32"/>
          <w:szCs w:val="32"/>
        </w:rPr>
      </w:pPr>
      <w:r>
        <w:rPr>
          <w:rFonts w:hint="eastAsia" w:ascii="仿宋_GB2312" w:eastAsia="仿宋_GB2312"/>
          <w:sz w:val="32"/>
          <w:szCs w:val="32"/>
        </w:rPr>
        <w:t>有数量限制，受财政下达年度资金预算控制，奖励金额以万元为单位按舍尾法取整，且原则上不得大于实际发生/投入金额。深圳市商务局视申报情况和预算安排，对奖励金额和拨付进度等进行统一调整，项目申报单位应无条件同意调整结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spacing w:line="560" w:lineRule="exact"/>
        <w:ind w:firstLine="640"/>
        <w:rPr>
          <w:rFonts w:ascii="仿宋_GB2312" w:eastAsia="仿宋_GB2312"/>
          <w:sz w:val="32"/>
          <w:szCs w:val="32"/>
        </w:rPr>
      </w:pPr>
      <w:r>
        <w:rPr>
          <w:rFonts w:hint="eastAsia" w:ascii="仿宋_GB2312" w:eastAsia="仿宋_GB2312"/>
          <w:sz w:val="32"/>
          <w:szCs w:val="32"/>
        </w:rPr>
        <w:t>事后奖励。</w:t>
      </w:r>
    </w:p>
    <w:p>
      <w:pPr>
        <w:spacing w:line="560" w:lineRule="exact"/>
        <w:ind w:firstLine="640"/>
        <w:rPr>
          <w:rFonts w:ascii="仿宋_GB2312" w:eastAsia="仿宋_GB2312"/>
          <w:sz w:val="32"/>
          <w:szCs w:val="32"/>
        </w:rPr>
      </w:pPr>
      <w:r>
        <w:rPr>
          <w:rFonts w:hint="eastAsia" w:ascii="黑体" w:hAnsi="黑体" w:eastAsia="黑体" w:cs="黑体"/>
          <w:sz w:val="32"/>
          <w:szCs w:val="32"/>
        </w:rPr>
        <w:t>四、申报条件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pStyle w:val="8"/>
        <w:ind w:firstLine="640"/>
        <w:rPr>
          <w:rFonts w:cs="仿宋_GB2312"/>
          <w:color w:val="000000"/>
          <w:kern w:val="0"/>
          <w:lang w:bidi="ar"/>
        </w:rPr>
      </w:pPr>
      <w:r>
        <w:rPr>
          <w:rFonts w:hint="eastAsia" w:cs="仿宋_GB2312"/>
          <w:color w:val="000000"/>
          <w:kern w:val="0"/>
          <w:lang w:bidi="ar"/>
        </w:rPr>
        <w:t>1.申报主体为在深圳市内（含深汕特别合作区，下同）依法登记且具有独立法人资格的企业；</w:t>
      </w:r>
    </w:p>
    <w:p>
      <w:pPr>
        <w:pStyle w:val="8"/>
        <w:ind w:firstLine="640"/>
        <w:rPr>
          <w:rFonts w:cs="仿宋_GB2312"/>
          <w:color w:val="000000"/>
          <w:kern w:val="0"/>
          <w:lang w:bidi="ar"/>
        </w:rPr>
      </w:pPr>
      <w:r>
        <w:rPr>
          <w:rFonts w:hint="eastAsia" w:cs="仿宋_GB2312"/>
          <w:color w:val="000000"/>
          <w:kern w:val="0"/>
          <w:lang w:bidi="ar"/>
        </w:rPr>
        <w:t>2.申报主体未被国家、省、市有关部门列入严重失信主体名单实施失信惩戒，明确限制申请财政性资金项目，且在限制期内；</w:t>
      </w:r>
    </w:p>
    <w:p>
      <w:pPr>
        <w:pStyle w:val="8"/>
        <w:ind w:firstLine="640"/>
        <w:rPr>
          <w:rFonts w:cs="仿宋_GB2312"/>
          <w:color w:val="000000"/>
          <w:kern w:val="0"/>
          <w:lang w:bidi="ar"/>
        </w:rPr>
      </w:pPr>
      <w:r>
        <w:rPr>
          <w:rFonts w:hint="eastAsia" w:cs="仿宋_GB2312"/>
          <w:color w:val="000000"/>
          <w:kern w:val="0"/>
          <w:lang w:bidi="ar"/>
        </w:rPr>
        <w:t>3.申报主体应当对申报材料的真实性、合法性、完整性负责，应如实提供本单位信用状况，承担违约责任并作出承诺，不得弄虚作假、套取、骗取专项资金；</w:t>
      </w:r>
    </w:p>
    <w:p>
      <w:pPr>
        <w:pStyle w:val="8"/>
        <w:ind w:firstLine="640"/>
        <w:rPr>
          <w:rFonts w:cs="仿宋_GB2312"/>
          <w:color w:val="000000"/>
          <w:kern w:val="0"/>
          <w:lang w:bidi="ar"/>
        </w:rPr>
      </w:pPr>
      <w:r>
        <w:rPr>
          <w:rFonts w:hint="eastAsia" w:cs="仿宋_GB2312"/>
          <w:color w:val="000000"/>
          <w:kern w:val="0"/>
          <w:lang w:bidi="ar"/>
        </w:rPr>
        <w:t>4.申报主体按要求向统计部门和商务主管部门报送统计数据；</w:t>
      </w:r>
    </w:p>
    <w:p>
      <w:pPr>
        <w:pStyle w:val="8"/>
        <w:ind w:firstLine="640"/>
        <w:rPr>
          <w:rFonts w:cs="仿宋_GB2312"/>
          <w:color w:val="000000"/>
          <w:kern w:val="0"/>
          <w:lang w:bidi="ar"/>
        </w:rPr>
      </w:pPr>
      <w:r>
        <w:rPr>
          <w:rFonts w:hint="eastAsia" w:cs="仿宋_GB2312"/>
          <w:color w:val="000000"/>
          <w:kern w:val="0"/>
          <w:lang w:bidi="ar"/>
        </w:rPr>
        <w:t>5.申报主体不得以同一事项重复或多头申报市级专项资金。</w:t>
      </w:r>
    </w:p>
    <w:p>
      <w:pPr>
        <w:spacing w:line="560" w:lineRule="exact"/>
        <w:ind w:firstLine="630"/>
        <w:rPr>
          <w:rFonts w:ascii="仿宋_GB2312" w:eastAsia="仿宋_GB2312"/>
          <w:sz w:val="32"/>
          <w:szCs w:val="32"/>
        </w:rPr>
      </w:pPr>
      <w:r>
        <w:rPr>
          <w:rFonts w:hint="eastAsia" w:ascii="楷体_GB2312" w:hAnsi="楷体_GB2312" w:eastAsia="楷体_GB2312" w:cs="楷体_GB2312"/>
          <w:sz w:val="32"/>
          <w:szCs w:val="32"/>
        </w:rPr>
        <w:t>（二）专项条件：</w:t>
      </w:r>
    </w:p>
    <w:p>
      <w:pPr>
        <w:pStyle w:val="5"/>
        <w:spacing w:line="579" w:lineRule="exact"/>
        <w:ind w:firstLine="640" w:firstLineChars="200"/>
        <w:rPr>
          <w:rFonts w:ascii="仿宋_GB2312" w:eastAsia="仿宋_GB2312"/>
          <w:sz w:val="32"/>
          <w:szCs w:val="32"/>
        </w:rPr>
      </w:pPr>
      <w:bookmarkStart w:id="0" w:name="_Hlk44882405"/>
      <w:r>
        <w:rPr>
          <w:rFonts w:hint="eastAsia" w:ascii="仿宋_GB2312" w:hAnsi="仿宋_GB2312" w:eastAsia="仿宋_GB2312" w:cs="仿宋_GB2312"/>
          <w:color w:val="000000"/>
          <w:sz w:val="32"/>
          <w:szCs w:val="32"/>
        </w:rPr>
        <w:t>2021年度采购深圳对口帮扶（东西部协作、乡村振兴）地区农、特产品达到一定规模的电子商务平台企业。电子商务平台企业：</w:t>
      </w:r>
      <w:r>
        <w:rPr>
          <w:rFonts w:hint="eastAsia" w:ascii="仿宋_GB2312" w:eastAsia="仿宋_GB2312" w:cs="Times New Roman"/>
          <w:color w:val="000000"/>
          <w:sz w:val="32"/>
          <w:szCs w:val="32"/>
        </w:rPr>
        <w:t>电子商务平台服务收入（指第三方平台）或平台销售收入（指自营平台）占企业总营业收入50%以上的企业。</w:t>
      </w:r>
    </w:p>
    <w:bookmarkEnd w:id="0"/>
    <w:p>
      <w:pPr>
        <w:spacing w:line="560" w:lineRule="exact"/>
        <w:ind w:firstLine="630"/>
        <w:rPr>
          <w:rFonts w:ascii="黑体" w:hAnsi="黑体" w:eastAsia="黑体" w:cs="黑体"/>
          <w:bCs/>
          <w:sz w:val="32"/>
          <w:szCs w:val="32"/>
        </w:rPr>
      </w:pPr>
      <w:r>
        <w:rPr>
          <w:rFonts w:hint="eastAsia" w:ascii="黑体" w:hAnsi="黑体" w:eastAsia="黑体" w:cs="黑体"/>
          <w:bCs/>
          <w:sz w:val="32"/>
          <w:szCs w:val="32"/>
        </w:rPr>
        <w:t>五、支持内容和支持标准</w:t>
      </w:r>
    </w:p>
    <w:p>
      <w:pPr>
        <w:spacing w:line="560" w:lineRule="exact"/>
        <w:ind w:firstLine="643" w:firstLineChars="200"/>
        <w:rPr>
          <w:rFonts w:ascii="仿宋_GB2312" w:eastAsia="仿宋_GB2312"/>
          <w:iCs/>
          <w:sz w:val="32"/>
          <w:szCs w:val="32"/>
        </w:rPr>
      </w:pPr>
      <w:r>
        <w:rPr>
          <w:rFonts w:hint="eastAsia" w:ascii="仿宋_GB2312" w:hAnsi="楷体_GB2312" w:eastAsia="仿宋_GB2312" w:cs="楷体_GB2312"/>
          <w:b/>
          <w:bCs/>
          <w:sz w:val="32"/>
          <w:szCs w:val="32"/>
        </w:rPr>
        <w:t>支持内容：</w:t>
      </w:r>
      <w:r>
        <w:rPr>
          <w:rFonts w:hint="eastAsia" w:ascii="仿宋_GB2312" w:eastAsia="仿宋_GB2312"/>
          <w:iCs/>
          <w:sz w:val="32"/>
          <w:szCs w:val="32"/>
        </w:rPr>
        <w:t>对采购深圳对口帮扶地区农、特产品达到一定规模的电子商务平台企业给予奖励。</w:t>
      </w:r>
    </w:p>
    <w:p>
      <w:pPr>
        <w:spacing w:line="560" w:lineRule="exact"/>
        <w:ind w:firstLine="420" w:firstLineChars="200"/>
      </w:pPr>
    </w:p>
    <w:p>
      <w:pPr>
        <w:pStyle w:val="5"/>
        <w:widowControl/>
        <w:spacing w:line="560" w:lineRule="exact"/>
        <w:ind w:firstLine="643" w:firstLineChars="200"/>
        <w:jc w:val="both"/>
      </w:pPr>
      <w:r>
        <w:rPr>
          <w:rFonts w:hint="eastAsia" w:ascii="仿宋_GB2312" w:hAnsi="楷体_GB2312" w:eastAsia="仿宋_GB2312" w:cs="楷体_GB2312"/>
          <w:b/>
          <w:bCs/>
          <w:sz w:val="32"/>
          <w:szCs w:val="32"/>
        </w:rPr>
        <w:t>支持标准：</w:t>
      </w:r>
      <w:r>
        <w:rPr>
          <w:rFonts w:hint="eastAsia" w:ascii="仿宋_GB2312" w:hAnsi="楷体_GB2312" w:eastAsia="仿宋_GB2312" w:cs="楷体_GB2312"/>
          <w:sz w:val="32"/>
          <w:szCs w:val="32"/>
        </w:rPr>
        <w:t>2021年度</w:t>
      </w:r>
      <w:r>
        <w:rPr>
          <w:rFonts w:hint="eastAsia" w:ascii="仿宋_GB2312" w:hAnsi="仿宋_GB2312" w:eastAsia="仿宋_GB2312" w:cs="仿宋_GB2312"/>
          <w:color w:val="000000"/>
          <w:sz w:val="32"/>
          <w:szCs w:val="32"/>
        </w:rPr>
        <w:t>采购额超过1000万元的企业，一次性奖励50万元；2021年度采购金额每增加500万元的，增加奖励10万元，单个企业最高不超过100万元。</w:t>
      </w:r>
    </w:p>
    <w:p>
      <w:pPr>
        <w:spacing w:line="560" w:lineRule="exact"/>
        <w:ind w:firstLine="645"/>
        <w:rPr>
          <w:rFonts w:ascii="黑体" w:hAnsi="黑体" w:eastAsia="黑体"/>
          <w:sz w:val="32"/>
          <w:szCs w:val="32"/>
        </w:rPr>
      </w:pPr>
      <w:r>
        <w:rPr>
          <w:rFonts w:hint="eastAsia" w:ascii="黑体" w:hAnsi="黑体" w:eastAsia="黑体"/>
          <w:sz w:val="32"/>
          <w:szCs w:val="32"/>
        </w:rPr>
        <w:t>六、申报材料</w:t>
      </w:r>
    </w:p>
    <w:p>
      <w:pPr>
        <w:spacing w:line="560" w:lineRule="exact"/>
        <w:ind w:firstLine="645"/>
        <w:rPr>
          <w:rFonts w:ascii="仿宋_GB2312" w:eastAsia="仿宋_GB2312"/>
          <w:sz w:val="32"/>
          <w:szCs w:val="32"/>
        </w:rPr>
      </w:pPr>
      <w:r>
        <w:rPr>
          <w:rFonts w:hint="eastAsia" w:ascii="仿宋_GB2312" w:eastAsia="仿宋_GB2312"/>
          <w:sz w:val="32"/>
          <w:szCs w:val="32"/>
        </w:rPr>
        <w:t>申报材料由基础材料和项目材料两部分组成。</w:t>
      </w:r>
    </w:p>
    <w:p>
      <w:pPr>
        <w:spacing w:line="560" w:lineRule="exact"/>
        <w:ind w:firstLine="645"/>
        <w:rPr>
          <w:rFonts w:ascii="楷体_GB2312" w:eastAsia="楷体_GB2312"/>
          <w:sz w:val="32"/>
          <w:szCs w:val="32"/>
        </w:rPr>
      </w:pPr>
      <w:r>
        <w:rPr>
          <w:rFonts w:hint="eastAsia" w:ascii="楷体_GB2312" w:eastAsia="楷体_GB2312"/>
          <w:sz w:val="32"/>
          <w:szCs w:val="32"/>
        </w:rPr>
        <w:t>（一）基础材料：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1.登录广东政务服务网在线填报申请书（网址：</w:t>
      </w:r>
      <w:r>
        <w:rPr>
          <w:rFonts w:ascii="Times New Roman" w:hAnsi="Times New Roman" w:eastAsia="仿宋_GB2312"/>
          <w:sz w:val="32"/>
          <w:szCs w:val="32"/>
        </w:rPr>
        <w:t>http://</w:t>
      </w:r>
      <w:r>
        <w:rPr>
          <w:rFonts w:hint="eastAsia" w:ascii="Times New Roman" w:hAnsi="Times New Roman" w:eastAsia="仿宋_GB2312"/>
          <w:sz w:val="32"/>
          <w:szCs w:val="32"/>
        </w:rPr>
        <w:t>www.gdzwfw.gov.cn/</w:t>
      </w:r>
      <w:r>
        <w:rPr>
          <w:rFonts w:hint="eastAsia" w:ascii="仿宋_GB2312" w:eastAsia="仿宋_GB2312"/>
          <w:sz w:val="32"/>
          <w:szCs w:val="32"/>
        </w:rPr>
        <w:t>），提供通过该系统打印的申请书纸质文件原件；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营业执照</w:t>
      </w:r>
      <w:bookmarkStart w:id="1" w:name="_GoBack"/>
      <w:bookmarkEnd w:id="1"/>
      <w:r>
        <w:rPr>
          <w:rFonts w:hint="eastAsia" w:ascii="仿宋_GB2312" w:eastAsia="仿宋_GB2312"/>
          <w:sz w:val="32"/>
          <w:szCs w:val="32"/>
        </w:rPr>
        <w:t>（电子证照）。</w:t>
      </w:r>
    </w:p>
    <w:p>
      <w:pPr>
        <w:spacing w:line="560" w:lineRule="exact"/>
        <w:ind w:firstLine="645"/>
        <w:rPr>
          <w:rFonts w:ascii="楷体_GB2312" w:eastAsia="楷体_GB2312"/>
          <w:sz w:val="32"/>
          <w:szCs w:val="32"/>
        </w:rPr>
      </w:pPr>
      <w:r>
        <w:rPr>
          <w:rFonts w:hint="eastAsia" w:ascii="楷体_GB2312" w:eastAsia="楷体_GB2312"/>
          <w:sz w:val="32"/>
          <w:szCs w:val="32"/>
        </w:rPr>
        <w:t>（二）项目材料：</w:t>
      </w:r>
    </w:p>
    <w:p>
      <w:pPr>
        <w:spacing w:line="560" w:lineRule="exact"/>
        <w:ind w:firstLine="640" w:firstLineChars="200"/>
        <w:rPr>
          <w:rFonts w:ascii="仿宋_GB2312" w:eastAsia="仿宋_GB2312"/>
          <w:iCs/>
          <w:sz w:val="32"/>
          <w:szCs w:val="32"/>
        </w:rPr>
      </w:pPr>
      <w:r>
        <w:rPr>
          <w:rFonts w:hint="eastAsia" w:ascii="仿宋_GB2312" w:eastAsia="仿宋_GB2312"/>
          <w:bCs/>
          <w:iCs/>
          <w:sz w:val="32"/>
          <w:szCs w:val="32"/>
        </w:rPr>
        <w:t>1.</w:t>
      </w:r>
      <w:r>
        <w:rPr>
          <w:rFonts w:hint="eastAsia" w:ascii="仿宋_GB2312" w:hAnsi="仿宋_GB2312" w:eastAsia="仿宋_GB2312" w:cs="仿宋_GB2312"/>
          <w:iCs/>
          <w:color w:val="000000"/>
          <w:sz w:val="32"/>
          <w:szCs w:val="32"/>
        </w:rPr>
        <w:t>第三方平台企业提供在线数据处理与交易处理业务许可证（EDI），自营平台企业提供网站备案截图。</w:t>
      </w:r>
    </w:p>
    <w:p>
      <w:pPr>
        <w:spacing w:line="560" w:lineRule="exact"/>
        <w:ind w:firstLine="640" w:firstLineChars="200"/>
      </w:pPr>
      <w:r>
        <w:rPr>
          <w:rFonts w:hint="eastAsia" w:ascii="仿宋_GB2312" w:hAnsi="Times New Roman" w:eastAsia="仿宋_GB2312" w:cs="Times New Roman"/>
          <w:color w:val="000000"/>
          <w:sz w:val="32"/>
          <w:szCs w:val="32"/>
        </w:rPr>
        <w:t>2.第三方平台企业提供电子商务平台服务收入占企业总营业收入50%以上的说明及证明材料，自营平台企业提供平台销售收入占企业总营业收入50%以上的说明及证明材料；</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000000"/>
          <w:sz w:val="32"/>
          <w:szCs w:val="32"/>
        </w:rPr>
        <w:t>3.2021年度深圳对口帮扶（</w:t>
      </w:r>
      <w:r>
        <w:rPr>
          <w:rFonts w:hint="eastAsia" w:ascii="仿宋_GB2312" w:hAnsi="仿宋_GB2312" w:eastAsia="仿宋_GB2312" w:cs="仿宋_GB2312"/>
          <w:color w:val="000000"/>
          <w:sz w:val="32"/>
          <w:szCs w:val="32"/>
        </w:rPr>
        <w:t>东西部协作、乡村振兴</w:t>
      </w:r>
      <w:r>
        <w:rPr>
          <w:rFonts w:hint="eastAsia" w:ascii="仿宋_GB2312" w:hAnsi="Times New Roman" w:eastAsia="仿宋_GB2312" w:cs="Times New Roman"/>
          <w:color w:val="000000"/>
          <w:sz w:val="32"/>
          <w:szCs w:val="32"/>
        </w:rPr>
        <w:t>）地区农、特产品采购合同及付款凭证。</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000000"/>
          <w:sz w:val="32"/>
          <w:szCs w:val="32"/>
        </w:rPr>
        <w:t>以上材料均需加盖申报单位公章，多页的还需加盖骑缝公章；涉及外文的，需提供中文翻译件；一式两份，A4纸正反面打印/复印，非空白页（含封面）需连续编写页码，装订成册（胶装）。所有证件均需在有效期内。</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sz w:val="32"/>
          <w:szCs w:val="32"/>
        </w:rPr>
      </w:pPr>
      <w:r>
        <w:rPr>
          <w:rFonts w:hint="eastAsia" w:ascii="仿宋_GB2312" w:eastAsia="仿宋_GB2312"/>
          <w:sz w:val="32"/>
          <w:szCs w:val="32"/>
        </w:rPr>
        <w:t>本指南第六条规定登录广东政务服务网（网址：</w:t>
      </w:r>
      <w:r>
        <w:rPr>
          <w:rFonts w:ascii="Times New Roman" w:hAnsi="Times New Roman" w:eastAsia="仿宋_GB2312"/>
          <w:sz w:val="32"/>
          <w:szCs w:val="32"/>
        </w:rPr>
        <w:t>http://</w:t>
      </w:r>
      <w:r>
        <w:rPr>
          <w:rFonts w:hint="eastAsia" w:ascii="Times New Roman" w:hAnsi="Times New Roman" w:eastAsia="仿宋_GB2312"/>
          <w:sz w:val="32"/>
          <w:szCs w:val="32"/>
        </w:rPr>
        <w:t>www.gdzwfw.gov.cn/</w:t>
      </w:r>
      <w:r>
        <w:rPr>
          <w:rFonts w:hint="eastAsia" w:ascii="仿宋_GB2312" w:eastAsia="仿宋_GB2312"/>
          <w:sz w:val="32"/>
          <w:szCs w:val="32"/>
        </w:rPr>
        <w:t>）在线填报申请书</w:t>
      </w:r>
      <w:r>
        <w:rPr>
          <w:rFonts w:hint="eastAsia" w:ascii="Times New Roman" w:hAnsi="Times New Roman"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八、受理机关</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（一）受理机关：深圳市商务局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（二）受理时间：</w:t>
      </w:r>
    </w:p>
    <w:p>
      <w:pPr>
        <w:spacing w:line="560" w:lineRule="exact"/>
        <w:ind w:firstLine="640" w:firstLineChars="200"/>
        <w:rPr>
          <w:rFonts w:ascii="仿宋_GB2312" w:hAnsi="宋体" w:eastAsia="仿宋_GB2312"/>
          <w:sz w:val="32"/>
          <w:szCs w:val="32"/>
        </w:rPr>
      </w:pPr>
      <w:r>
        <w:rPr>
          <w:rFonts w:hint="eastAsia" w:ascii="Times New Roman" w:hAnsi="Times New Roman" w:eastAsia="仿宋_GB2312"/>
          <w:sz w:val="32"/>
          <w:szCs w:val="32"/>
        </w:rPr>
        <w:t>1.网络填报时间：</w:t>
      </w:r>
      <w:r>
        <w:rPr>
          <w:rFonts w:hint="eastAsia" w:ascii="仿宋_GB2312" w:hAnsi="宋体" w:eastAsia="仿宋_GB2312"/>
          <w:sz w:val="32"/>
          <w:szCs w:val="32"/>
        </w:rPr>
        <w:t>2022年4月27日—2022年5月9日18:00。</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2.材料提交时间: 2022年4月27日—2022年5月11日17:45。</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（三）受理地点：深圳市福田区福中三路市民中心B区市行政服务大厅西厅综合窗口。</w:t>
      </w:r>
      <w:r>
        <w:rPr>
          <w:rFonts w:hint="eastAsia" w:ascii="仿宋_GB2312" w:eastAsia="仿宋_GB2312"/>
          <w:iCs/>
          <w:sz w:val="32"/>
          <w:szCs w:val="32"/>
        </w:rPr>
        <w:t>（注：为做好疫情防控，减少人员聚集，到深圳市行政服务大厅提交材料需提前预约。预约指南：“i深圳”APP或关注“深圳市行政服务大厅”微信公众号。操作流程：【办事预约】或【预约取号】-【深圳市行政服务大厅西厅】。疫情期间，请按照预约时段，错峰提交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（四）咨询电话：0755-88916893、88916958、88916850；系统技术服务电话：0755-25331216（工作日上午9:00-12:00，下午2:00-6:00）。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发布申报指南——申报单位网上申报——初审——申报单位向市行政服务大厅收文窗口提交申报材料——形式审查——专项审计——征求相关单位意见（</w:t>
      </w:r>
      <w:r>
        <w:rPr>
          <w:rFonts w:hint="eastAsia" w:ascii="仿宋_GB2312" w:hAnsi="仿宋" w:eastAsia="仿宋_GB2312"/>
          <w:sz w:val="32"/>
          <w:szCs w:val="32"/>
        </w:rPr>
        <w:t>是否</w:t>
      </w:r>
      <w:r>
        <w:rPr>
          <w:rFonts w:hint="eastAsia" w:ascii="仿宋_GB2312" w:eastAsia="仿宋_GB2312"/>
          <w:sz w:val="32"/>
          <w:szCs w:val="32"/>
        </w:rPr>
        <w:t>存在重复资助情形</w:t>
      </w:r>
      <w:r>
        <w:rPr>
          <w:rFonts w:hint="eastAsia" w:ascii="仿宋_GB2312" w:hAnsi="仿宋" w:eastAsia="仿宋_GB2312"/>
          <w:sz w:val="32"/>
          <w:szCs w:val="32"/>
        </w:rPr>
        <w:t>，</w:t>
      </w:r>
      <w:r>
        <w:rPr>
          <w:rFonts w:hint="eastAsia" w:ascii="仿宋_GB2312" w:eastAsia="仿宋_GB2312"/>
          <w:sz w:val="32"/>
          <w:szCs w:val="32"/>
        </w:rPr>
        <w:t>失信惩戒情况，</w:t>
      </w:r>
      <w:r>
        <w:rPr>
          <w:rFonts w:hint="eastAsia" w:ascii="仿宋_GB2312" w:hAnsi="仿宋" w:eastAsia="仿宋_GB2312"/>
          <w:sz w:val="32"/>
          <w:szCs w:val="32"/>
        </w:rPr>
        <w:t>有无拖欠应缴还的财政性资金等情况</w:t>
      </w:r>
      <w:r>
        <w:rPr>
          <w:rFonts w:hint="eastAsia" w:ascii="仿宋_GB2312" w:eastAsia="仿宋_GB2312"/>
          <w:sz w:val="32"/>
          <w:szCs w:val="32"/>
        </w:rPr>
        <w:t>）——资质审查——核定拟奖励计划——社会公示——下达奖励计划——申请人提交拨付资料——拨付资金。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按照工作要求办理。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十六、补充说明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EE"/>
    <w:rsid w:val="002551F7"/>
    <w:rsid w:val="004C63A3"/>
    <w:rsid w:val="009576EE"/>
    <w:rsid w:val="5F5E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0"/>
    <w:semiHidden/>
    <w:unhideWhenUsed/>
    <w:uiPriority w:val="99"/>
    <w:pPr>
      <w:ind w:firstLine="420" w:firstLineChars="100"/>
    </w:pPr>
  </w:style>
  <w:style w:type="paragraph" w:styleId="3">
    <w:name w:val="Body Text"/>
    <w:basedOn w:val="1"/>
    <w:link w:val="9"/>
    <w:semiHidden/>
    <w:unhideWhenUsed/>
    <w:uiPriority w:val="99"/>
    <w:pPr>
      <w:spacing w:after="120"/>
    </w:p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Normal (Web)"/>
    <w:basedOn w:val="1"/>
    <w:qFormat/>
    <w:uiPriority w:val="0"/>
    <w:pPr>
      <w:jc w:val="left"/>
    </w:pPr>
    <w:rPr>
      <w:rFonts w:ascii="Times New Roman" w:hAnsi="Times New Roman"/>
      <w:kern w:val="0"/>
      <w:sz w:val="24"/>
    </w:rPr>
  </w:style>
  <w:style w:type="paragraph" w:customStyle="1" w:styleId="8">
    <w:name w:val="文件正文"/>
    <w:basedOn w:val="4"/>
    <w:qFormat/>
    <w:uiPriority w:val="0"/>
    <w:pPr>
      <w:snapToGrid/>
      <w:spacing w:line="560" w:lineRule="exact"/>
      <w:ind w:firstLine="622" w:firstLineChars="200"/>
      <w:jc w:val="both"/>
    </w:pPr>
    <w:rPr>
      <w:rFonts w:ascii="仿宋_GB2312" w:hAnsi="仿宋_GB2312" w:eastAsia="仿宋_GB2312" w:cs="Times New Roman"/>
      <w:sz w:val="32"/>
      <w:szCs w:val="32"/>
    </w:rPr>
  </w:style>
  <w:style w:type="character" w:customStyle="1" w:styleId="9">
    <w:name w:val="正文文本 字符"/>
    <w:basedOn w:val="7"/>
    <w:link w:val="3"/>
    <w:semiHidden/>
    <w:uiPriority w:val="99"/>
  </w:style>
  <w:style w:type="character" w:customStyle="1" w:styleId="10">
    <w:name w:val="正文文本首行缩进 字符"/>
    <w:basedOn w:val="9"/>
    <w:link w:val="2"/>
    <w:semiHidden/>
    <w:uiPriority w:val="99"/>
  </w:style>
  <w:style w:type="character" w:customStyle="1" w:styleId="11">
    <w:name w:val="页脚 字符"/>
    <w:basedOn w:val="7"/>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312</Words>
  <Characters>1783</Characters>
  <Lines>14</Lines>
  <Paragraphs>4</Paragraphs>
  <TotalTime>1</TotalTime>
  <ScaleCrop>false</ScaleCrop>
  <LinksUpToDate>false</LinksUpToDate>
  <CharactersWithSpaces>2091</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2022-04-19T07:16:00Z</dcterms:created>
  <dc:creator>陈 梓标</dc:creator>
  <cp:lastModifiedBy>86156</cp:lastModifiedBy>
  <dcterms:modified xsi:type="dcterms:W3CDTF">2022-04-19T08:49:14Z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