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1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2022年度</w:t>
      </w:r>
      <w:r>
        <w:rPr>
          <w:rFonts w:ascii="Times New Roman" w:hAnsi="Times New Roman" w:eastAsia="方正小标宋_GBK"/>
          <w:sz w:val="36"/>
          <w:szCs w:val="36"/>
        </w:rPr>
        <w:t>火炬科技成果直通车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工作方案</w:t>
      </w:r>
    </w:p>
    <w:p>
      <w:pPr>
        <w:spacing w:line="600" w:lineRule="exact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报送单位：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        联系人：            手机：</w:t>
      </w:r>
    </w:p>
    <w:tbl>
      <w:tblPr>
        <w:tblStyle w:val="4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825"/>
        <w:gridCol w:w="141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一、总体思路与目标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（包括火炬直通车工作定位、工作目标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量化指标等。）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二、必要性与基础优势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（包括火炬直通车工作的必要性、现有工作基础与优势等。）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组织架构与责任分工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包括火炬直通车工作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的主办、承办单位和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责任分工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，承办单位基本情况。）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99" w:type="dxa"/>
            <w:gridSpan w:val="4"/>
            <w:vAlign w:val="center"/>
          </w:tcPr>
          <w:p>
            <w:pPr>
              <w:ind w:left="0" w:left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</w:rPr>
              <w:t>四、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支撑保障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（包括在政策、人才、资金等方面提供的支撑保障等。）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五、路演活动</w:t>
            </w:r>
            <w:r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活动时间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10月底前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完成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活动地点</w:t>
            </w:r>
          </w:p>
        </w:tc>
        <w:tc>
          <w:tcPr>
            <w:tcW w:w="2825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活动规模</w:t>
            </w:r>
          </w:p>
        </w:tc>
        <w:tc>
          <w:tcPr>
            <w:tcW w:w="208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70" w:type="dxa"/>
            <w:vAlign w:val="center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路演主题</w:t>
            </w:r>
          </w:p>
        </w:tc>
        <w:tc>
          <w:tcPr>
            <w:tcW w:w="6329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日程安排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（活动初步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省级科技管理部门审核意见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E5C29"/>
    <w:rsid w:val="309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2022-04-26T06:08:00Z</dcterms:created>
  <dc:creator>Administrator</dc:creator>
  <cp:lastModifiedBy>Administrator</cp:lastModifiedBy>
  <dcterms:modified xsi:type="dcterms:W3CDTF">2022-04-26T06:08:26Z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