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pStyle w:val="2"/>
        <w:rPr>
          <w:rFonts w:hint="eastAsia"/>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default" w:ascii="方正小标宋简体" w:hAnsi="方正小标宋简体" w:eastAsia="方正小标宋简体" w:cs="方正小标宋简体"/>
          <w:b w:val="0"/>
          <w:bCs w:val="0"/>
          <w:sz w:val="44"/>
          <w:szCs w:val="44"/>
          <w:lang w:val="en-US" w:eastAsia="zh-CN"/>
        </w:rPr>
        <w:t>2022</w:t>
      </w:r>
      <w:r>
        <w:rPr>
          <w:rFonts w:hint="eastAsia" w:ascii="方正小标宋简体" w:hAnsi="方正小标宋简体" w:eastAsia="方正小标宋简体" w:cs="方正小标宋简体"/>
          <w:b w:val="0"/>
          <w:bCs w:val="0"/>
          <w:sz w:val="44"/>
          <w:szCs w:val="44"/>
          <w:lang w:val="en-US" w:eastAsia="zh-CN"/>
        </w:rPr>
        <w:t>年深圳市软科学研究项目申报选题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一、重点课题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val="en-US"/>
        </w:rPr>
        <w:t>1.</w:t>
      </w: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发展是第一要务、人才是第一资源、创新是第一动力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的理论逻辑和实践逻辑研究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研究内容：习近平总书记在参加十三届全国人大一次会议广东代表团审议时，明确提出发展是第一要务，人才是第一资源，创新是第一动力。强起来靠创新，创新靠人才。作为一座国际化创新型城市，深圳因改革而生、因创新而强、因人才而兴。在新时代人才强国战略部署下，准确把握发展、人才与创新三者之间的逻辑及其内在联系，全面总结深圳坚持人才引领发展的实践经验，以先行示范的担当和标准，提出深圳以人才驱动创新、引领发展的创新路径，形成《“发展是第一要务，人才是第一资源，创新是第一动力”理论逻辑和实践逻辑的对策建议》</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b w:val="0"/>
          <w:bCs w:val="0"/>
        </w:rPr>
      </w:pPr>
      <w:r>
        <w:rPr>
          <w:rFonts w:hint="eastAsia" w:ascii="仿宋_GB2312" w:hAnsi="仿宋_GB2312" w:eastAsia="仿宋_GB2312" w:cs="仿宋_GB2312"/>
          <w:b w:val="0"/>
          <w:bCs w:val="0"/>
          <w:sz w:val="32"/>
          <w:szCs w:val="32"/>
        </w:rPr>
        <w:t>资助金额：</w:t>
      </w:r>
      <w:r>
        <w:rPr>
          <w:rFonts w:hint="default"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.项目名称：关于深化全过程创新生态链</w:t>
      </w:r>
      <w:r>
        <w:rPr>
          <w:rFonts w:hint="default" w:ascii="仿宋_GB2312" w:hAnsi="仿宋_GB2312" w:eastAsia="仿宋_GB2312" w:cs="仿宋_GB2312"/>
          <w:b w:val="0"/>
          <w:bCs w:val="0"/>
          <w:sz w:val="32"/>
          <w:szCs w:val="32"/>
          <w:lang w:val="en-US"/>
        </w:rPr>
        <w:t xml:space="preserve"> </w:t>
      </w:r>
      <w:r>
        <w:rPr>
          <w:rFonts w:hint="eastAsia" w:ascii="仿宋_GB2312" w:hAnsi="仿宋_GB2312" w:eastAsia="仿宋_GB2312" w:cs="仿宋_GB2312"/>
          <w:b w:val="0"/>
          <w:bCs w:val="0"/>
          <w:sz w:val="32"/>
          <w:szCs w:val="32"/>
        </w:rPr>
        <w:t>加快建设具有全球影响力的科技和产业创新高地策略研究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研究内容：习近平总书记在深圳经济特区建立40周年庆祝大会上</w:t>
      </w:r>
      <w:r>
        <w:rPr>
          <w:rFonts w:hint="eastAsia" w:ascii="仿宋_GB2312" w:hAnsi="仿宋_GB2312" w:eastAsia="仿宋_GB2312" w:cs="仿宋_GB2312"/>
          <w:b w:val="0"/>
          <w:bCs w:val="0"/>
          <w:sz w:val="32"/>
          <w:szCs w:val="32"/>
          <w:lang w:eastAsia="zh-CN"/>
        </w:rPr>
        <w:t>强调</w:t>
      </w:r>
      <w:r>
        <w:rPr>
          <w:rFonts w:hint="eastAsia" w:ascii="仿宋_GB2312" w:hAnsi="仿宋_GB2312" w:eastAsia="仿宋_GB2312" w:cs="仿宋_GB2312"/>
          <w:b w:val="0"/>
          <w:bCs w:val="0"/>
          <w:sz w:val="32"/>
          <w:szCs w:val="32"/>
        </w:rPr>
        <w:t>，要坚定不移实施创新驱动发展战略，培育新动能，提升新势能，建设具有全球影响力的科技和产业创新高地。深圳市委七届</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次全会提出，要以深化全过程创新生态链为支撑推动科技自立自强。</w:t>
      </w:r>
      <w:r>
        <w:rPr>
          <w:rFonts w:hint="eastAsia" w:ascii="仿宋_GB2312" w:hAnsi="Times New Roman" w:eastAsia="仿宋_GB2312" w:cs="Times New Roman"/>
          <w:b w:val="0"/>
          <w:bCs w:val="0"/>
          <w:kern w:val="0"/>
          <w:sz w:val="32"/>
          <w:szCs w:val="32"/>
          <w:lang w:val="en-US" w:eastAsia="zh-CN"/>
        </w:rPr>
        <w:t>深入调研分析深圳</w:t>
      </w:r>
      <w:r>
        <w:rPr>
          <w:rFonts w:hint="eastAsia" w:ascii="仿宋_GB2312" w:hAnsi="Times New Roman" w:eastAsia="仿宋_GB2312" w:cs="Times New Roman"/>
          <w:b w:val="0"/>
          <w:bCs w:val="0"/>
          <w:kern w:val="0"/>
          <w:sz w:val="32"/>
          <w:szCs w:val="32"/>
        </w:rPr>
        <w:t>全过程创新生态链</w:t>
      </w:r>
      <w:r>
        <w:rPr>
          <w:rFonts w:hint="eastAsia" w:ascii="仿宋_GB2312" w:hAnsi="Times New Roman" w:eastAsia="仿宋_GB2312" w:cs="Times New Roman"/>
          <w:b w:val="0"/>
          <w:bCs w:val="0"/>
          <w:kern w:val="0"/>
          <w:sz w:val="32"/>
          <w:szCs w:val="32"/>
          <w:lang w:val="en-US" w:eastAsia="zh-CN"/>
        </w:rPr>
        <w:t>存在的问题和薄弱环节，对标国内外创新发展先进城市，发挥</w:t>
      </w:r>
      <w:r>
        <w:rPr>
          <w:rFonts w:hint="eastAsia" w:ascii="仿宋_GB2312" w:hAnsi="仿宋_GB2312" w:eastAsia="仿宋_GB2312" w:cs="仿宋_GB2312"/>
          <w:b w:val="0"/>
          <w:bCs w:val="0"/>
          <w:sz w:val="32"/>
          <w:szCs w:val="32"/>
        </w:rPr>
        <w:t>全过程创新生态链</w:t>
      </w:r>
      <w:r>
        <w:rPr>
          <w:rFonts w:hint="eastAsia" w:ascii="仿宋_GB2312" w:hAnsi="仿宋_GB2312" w:eastAsia="仿宋_GB2312" w:cs="仿宋_GB2312"/>
          <w:b w:val="0"/>
          <w:bCs w:val="0"/>
          <w:sz w:val="32"/>
          <w:szCs w:val="32"/>
          <w:lang w:eastAsia="zh-CN"/>
        </w:rPr>
        <w:t>整体效应，围绕提升原始创新能力、协同创新能力、开放创新能力提出政策举措建议，</w:t>
      </w:r>
      <w:r>
        <w:rPr>
          <w:rFonts w:hint="eastAsia" w:ascii="仿宋_GB2312" w:hAnsi="仿宋_GB2312" w:eastAsia="仿宋_GB2312" w:cs="仿宋_GB2312"/>
          <w:b w:val="0"/>
          <w:bCs w:val="0"/>
          <w:sz w:val="32"/>
          <w:szCs w:val="32"/>
        </w:rPr>
        <w:t>形成《关于深化全过程创新生态链</w:t>
      </w:r>
      <w:r>
        <w:rPr>
          <w:rFonts w:hint="default" w:ascii="仿宋_GB2312" w:hAnsi="仿宋_GB2312" w:eastAsia="仿宋_GB2312" w:cs="仿宋_GB2312"/>
          <w:b w:val="0"/>
          <w:bCs w:val="0"/>
          <w:sz w:val="32"/>
          <w:szCs w:val="32"/>
          <w:lang w:val="en-US"/>
        </w:rPr>
        <w:t xml:space="preserve"> </w:t>
      </w:r>
      <w:r>
        <w:rPr>
          <w:rFonts w:hint="eastAsia" w:ascii="仿宋_GB2312" w:hAnsi="仿宋_GB2312" w:eastAsia="仿宋_GB2312" w:cs="仿宋_GB2312"/>
          <w:b w:val="0"/>
          <w:bCs w:val="0"/>
          <w:sz w:val="32"/>
          <w:szCs w:val="32"/>
        </w:rPr>
        <w:t>加快建设具有全球影响力的科技和产业创新高地策略</w:t>
      </w:r>
      <w:r>
        <w:rPr>
          <w:rFonts w:hint="eastAsia" w:ascii="仿宋_GB2312" w:hAnsi="仿宋_GB2312" w:eastAsia="仿宋_GB2312" w:cs="仿宋_GB2312"/>
          <w:b w:val="0"/>
          <w:bCs w:val="0"/>
          <w:sz w:val="32"/>
          <w:szCs w:val="32"/>
          <w:lang w:eastAsia="zh-CN"/>
        </w:rPr>
        <w:t>研究报告</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b w:val="0"/>
          <w:bCs w:val="0"/>
        </w:rPr>
      </w:pPr>
      <w:r>
        <w:rPr>
          <w:rFonts w:hint="eastAsia" w:ascii="仿宋_GB2312" w:hAnsi="仿宋_GB2312" w:eastAsia="仿宋_GB2312" w:cs="仿宋_GB2312"/>
          <w:b w:val="0"/>
          <w:bCs w:val="0"/>
          <w:sz w:val="32"/>
          <w:szCs w:val="32"/>
        </w:rPr>
        <w:t>资助金额：</w:t>
      </w:r>
      <w:r>
        <w:rPr>
          <w:rFonts w:hint="default"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万元。</w:t>
      </w:r>
    </w:p>
    <w:p>
      <w:pPr>
        <w:spacing w:line="560" w:lineRule="exact"/>
        <w:ind w:firstLine="640" w:firstLineChars="200"/>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项目名称：深圳市培育发展未来产业政策研究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市第七次党代会提出，实施“未来产业引领”计划。前瞻布局未来产业，是培育经济新动能、构建新的增长点、掌握未来发展主动权的关键。围绕分类梯次培育发展未来产业，全面梳理合成生物、量子信息、深地深海等八大未来的发展基础，从构建创新体系、促进成果产业化、强化企业培育、引导集群化发展、</w:t>
      </w:r>
      <w:r>
        <w:rPr>
          <w:rFonts w:hint="default" w:ascii="仿宋_GB2312" w:hAnsi="仿宋_GB2312" w:eastAsia="仿宋_GB2312" w:cs="仿宋_GB2312"/>
          <w:b w:val="0"/>
          <w:bCs w:val="0"/>
          <w:sz w:val="32"/>
          <w:szCs w:val="32"/>
          <w:lang w:val="en-US" w:eastAsia="zh-CN"/>
        </w:rPr>
        <w:t>创新制度供给</w:t>
      </w:r>
      <w:r>
        <w:rPr>
          <w:rFonts w:hint="eastAsia" w:ascii="仿宋_GB2312" w:hAnsi="仿宋_GB2312" w:eastAsia="仿宋_GB2312" w:cs="仿宋_GB2312"/>
          <w:b w:val="0"/>
          <w:bCs w:val="0"/>
          <w:sz w:val="32"/>
          <w:szCs w:val="32"/>
          <w:lang w:val="en-US" w:eastAsia="zh-CN"/>
        </w:rPr>
        <w:t>等方面，深入研究未来产业培育发展的路径及政策体系，形成《深圳市培育发展未来产业的政策建议》。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b w:val="0"/>
          <w:bCs w:val="0"/>
          <w:lang w:val="en-US" w:eastAsia="zh-CN"/>
        </w:rPr>
      </w:pPr>
      <w:r>
        <w:rPr>
          <w:rFonts w:hint="eastAsia" w:ascii="仿宋_GB2312" w:hAnsi="仿宋_GB2312" w:eastAsia="仿宋_GB2312" w:cs="仿宋_GB2312"/>
          <w:b w:val="0"/>
          <w:bCs w:val="0"/>
          <w:sz w:val="32"/>
          <w:szCs w:val="32"/>
          <w:lang w:val="en-US" w:eastAsia="zh-CN"/>
        </w:rPr>
        <w:t>资助金额：</w:t>
      </w:r>
      <w:r>
        <w:rPr>
          <w:rFonts w:hint="default" w:ascii="仿宋_GB2312" w:hAnsi="仿宋_GB2312" w:eastAsia="仿宋_GB2312" w:cs="仿宋_GB2312"/>
          <w:b w:val="0"/>
          <w:bCs w:val="0"/>
          <w:sz w:val="32"/>
          <w:szCs w:val="32"/>
          <w:lang w:val="en" w:eastAsia="zh-CN"/>
        </w:rPr>
        <w:t>100</w:t>
      </w:r>
      <w:r>
        <w:rPr>
          <w:rFonts w:hint="eastAsia" w:ascii="仿宋_GB2312" w:hAnsi="仿宋_GB2312" w:eastAsia="仿宋_GB2312" w:cs="仿宋_GB2312"/>
          <w:b w:val="0"/>
          <w:bCs w:val="0"/>
          <w:sz w:val="32"/>
          <w:szCs w:val="32"/>
          <w:lang w:val="en-US" w:eastAsia="zh-CN"/>
        </w:rPr>
        <w:t>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.项目名称：“双碳”战略背景下深圳新兴产业发展策略研究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中共中央、国务院印发《关于完整准确全面贯彻新发展理念做好碳达峰碳中和工作的意见》，国务院印发《2030年前碳达峰行动方案》，共同构成贯穿碳达峰碳中和两个阶段的顶层设计，为各地区、各行业推动碳达峰碳中和工作指明了方向。</w:t>
      </w:r>
      <w:bookmarkStart w:id="0" w:name="_GoBack"/>
      <w:bookmarkEnd w:id="0"/>
      <w:r>
        <w:rPr>
          <w:rFonts w:hint="eastAsia" w:ascii="仿宋_GB2312" w:hAnsi="仿宋_GB2312" w:eastAsia="仿宋_GB2312" w:cs="仿宋_GB2312"/>
          <w:b w:val="0"/>
          <w:bCs w:val="0"/>
          <w:sz w:val="32"/>
          <w:szCs w:val="32"/>
          <w:lang w:val="en-US" w:eastAsia="zh-CN"/>
        </w:rPr>
        <w:t>结合深圳实际，在科学研究、技术支撑、成果产业化等各个层次对碳达峰、碳中和进行研究和布局，进一步激发高校、科研机构和企业的能动性，充分发挥科技创新在经济和社会发展中的主动力和主引擎作用，大力发展新兴产业、新能源产业和节能环保产业，抢占碳达峰碳中和新产业发展制高点，形成《“双碳”战略背景下深圳新兴产业发展策略研究报告》。</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资助金额：</w:t>
      </w:r>
      <w:r>
        <w:rPr>
          <w:rFonts w:hint="default"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二、一般课题</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项目名称：“双循环”背景下深圳“</w:t>
      </w:r>
      <w:r>
        <w:rPr>
          <w:rFonts w:hint="default" w:ascii="仿宋_GB2312" w:hAnsi="仿宋_GB2312" w:eastAsia="仿宋_GB2312" w:cs="仿宋_GB2312"/>
          <w:b w:val="0"/>
          <w:bCs w:val="0"/>
          <w:sz w:val="32"/>
          <w:szCs w:val="32"/>
          <w:lang w:val="en-US" w:eastAsia="zh-CN"/>
        </w:rPr>
        <w:t>20+8</w:t>
      </w:r>
      <w:r>
        <w:rPr>
          <w:rFonts w:hint="eastAsia" w:ascii="仿宋_GB2312" w:hAnsi="仿宋_GB2312" w:eastAsia="仿宋_GB2312" w:cs="仿宋_GB2312"/>
          <w:b w:val="0"/>
          <w:bCs w:val="0"/>
          <w:sz w:val="32"/>
          <w:szCs w:val="32"/>
          <w:lang w:val="en-US" w:eastAsia="zh-CN"/>
        </w:rPr>
        <w:t>”重点产业前沿技术发展对策研究</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研究内容：发挥深圳产学研深度融合优势，聚焦“</w:t>
      </w:r>
      <w:r>
        <w:rPr>
          <w:rFonts w:hint="default" w:ascii="仿宋_GB2312" w:hAnsi="仿宋_GB2312" w:eastAsia="仿宋_GB2312" w:cs="仿宋_GB2312"/>
          <w:b w:val="0"/>
          <w:bCs w:val="0"/>
          <w:sz w:val="32"/>
          <w:szCs w:val="32"/>
          <w:lang w:val="en-US" w:eastAsia="zh-CN"/>
        </w:rPr>
        <w:t>20+8</w:t>
      </w:r>
      <w:r>
        <w:rPr>
          <w:rFonts w:hint="eastAsia" w:ascii="仿宋_GB2312" w:hAnsi="仿宋_GB2312" w:eastAsia="仿宋_GB2312" w:cs="仿宋_GB2312"/>
          <w:b w:val="0"/>
          <w:bCs w:val="0"/>
          <w:sz w:val="32"/>
          <w:szCs w:val="32"/>
          <w:lang w:val="en-US" w:eastAsia="zh-CN"/>
        </w:rPr>
        <w:t>”产业，组织开展相关领域关键技术发展需求分析，研究产业发展战略，提出技术创新组织形式、资源配置方式、效益评估模式、人才培养范式等方面的具体措施，为优化科研攻关技术布局、更好发挥科技计划对产业发展引领作用提供支撑，形成《“双循环”背景下深圳“</w:t>
      </w:r>
      <w:r>
        <w:rPr>
          <w:rFonts w:hint="default" w:ascii="仿宋_GB2312" w:hAnsi="仿宋_GB2312" w:eastAsia="仿宋_GB2312" w:cs="仿宋_GB2312"/>
          <w:b w:val="0"/>
          <w:bCs w:val="0"/>
          <w:sz w:val="32"/>
          <w:szCs w:val="32"/>
          <w:lang w:val="en-US" w:eastAsia="zh-CN"/>
        </w:rPr>
        <w:t>20+8</w:t>
      </w:r>
      <w:r>
        <w:rPr>
          <w:rFonts w:hint="eastAsia" w:ascii="仿宋_GB2312" w:hAnsi="仿宋_GB2312" w:eastAsia="仿宋_GB2312" w:cs="仿宋_GB2312"/>
          <w:b w:val="0"/>
          <w:bCs w:val="0"/>
          <w:sz w:val="32"/>
          <w:szCs w:val="32"/>
          <w:lang w:val="en-US" w:eastAsia="zh-CN"/>
        </w:rPr>
        <w:t>”重点产业前沿技术发展的对策建议》。</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b w:val="0"/>
          <w:bCs w:val="0"/>
          <w:lang w:val="en-US" w:eastAsia="zh-CN"/>
        </w:rPr>
      </w:pPr>
      <w:r>
        <w:rPr>
          <w:rFonts w:hint="eastAsia" w:ascii="仿宋_GB2312" w:hAnsi="仿宋_GB2312" w:eastAsia="仿宋_GB2312" w:cs="仿宋_GB2312"/>
          <w:b w:val="0"/>
          <w:bCs w:val="0"/>
          <w:sz w:val="32"/>
          <w:szCs w:val="32"/>
          <w:lang w:val="en-US" w:eastAsia="zh-CN"/>
        </w:rPr>
        <w:t>资助金额：50万元。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.项目名称：国际著名高科技园区发展经验及深圳国家高新区高质量发展策略研究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关于促进国家高新技术产业开发区高质量发展的若干意见》提出，将国家高新区建设成为创新驱动发展示范区和高质量发展先行区。《深圳国家高新区“十四五”发展规划》提出，建设具有卓越竞争力的世界领先科技园区，打造自主创新高地、新兴产业高地、创新创业高地、绿色发展高地、开放协同高地。系统分析世界著名高科技园区发展历程、模式和特点，总结提炼各高科技园区发展的主要经验，形成《深圳国家高新区高质量发展对策建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b w:val="0"/>
          <w:bCs w:val="0"/>
          <w:lang w:val="en-US" w:eastAsia="zh-CN"/>
        </w:rPr>
      </w:pPr>
      <w:r>
        <w:rPr>
          <w:rFonts w:hint="eastAsia" w:ascii="仿宋_GB2312" w:hAnsi="仿宋_GB2312" w:eastAsia="仿宋_GB2312" w:cs="仿宋_GB2312"/>
          <w:b w:val="0"/>
          <w:bCs w:val="0"/>
          <w:sz w:val="32"/>
          <w:szCs w:val="32"/>
          <w:lang w:val="en-US" w:eastAsia="zh-CN"/>
        </w:rPr>
        <w:t>资助金额：</w:t>
      </w:r>
      <w:r>
        <w:rPr>
          <w:rFonts w:hint="default" w:ascii="仿宋_GB2312" w:hAnsi="仿宋_GB2312" w:eastAsia="仿宋_GB2312" w:cs="仿宋_GB2312"/>
          <w:b w:val="0"/>
          <w:bCs w:val="0"/>
          <w:sz w:val="32"/>
          <w:szCs w:val="32"/>
          <w:lang w:val="en-US" w:eastAsia="zh-CN"/>
        </w:rPr>
        <w:t>50</w:t>
      </w:r>
      <w:r>
        <w:rPr>
          <w:rFonts w:hint="eastAsia" w:ascii="仿宋_GB2312" w:hAnsi="仿宋_GB2312" w:eastAsia="仿宋_GB2312" w:cs="仿宋_GB2312"/>
          <w:b w:val="0"/>
          <w:bCs w:val="0"/>
          <w:sz w:val="32"/>
          <w:szCs w:val="32"/>
          <w:lang w:val="en-US" w:eastAsia="zh-CN"/>
        </w:rPr>
        <w:t>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.项目名称：深圳构建科技创新基地体系研究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国家“十四五”规划纲要提出，以国家战略性需求为导向推进创新体系优化组合，加快构建以国家实验室为引领的战略科技力量。聚焦量子信息、光子与微纳电子、网络通信、人工智能、生物医药、现代能源系统等重大创新领域组建一批国家实验室，重组国家重点实验室，形成结构合理、运行高效的实验室体系。根据国家科技创新基地优化组合要求，系统调研深圳科技创新基地体系建设情况及其存在问题，聚焦“20+8”产业发展需求，研究提出深圳科技创新基地体系优化布局方向及其策略，形成《深圳构建科技创新基地体系的对策建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资助金额：50万元。</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8.项目名称：深圳</w:t>
      </w:r>
      <w:r>
        <w:rPr>
          <w:rFonts w:hint="eastAsia" w:ascii="仿宋_GB2312" w:hAnsi="仿宋_GB2312" w:eastAsia="仿宋_GB2312" w:cs="仿宋_GB2312"/>
          <w:b w:val="0"/>
          <w:bCs w:val="0"/>
          <w:sz w:val="32"/>
          <w:szCs w:val="32"/>
          <w:lang w:val="en-US" w:eastAsia="zh-CN"/>
        </w:rPr>
        <w:t>市</w:t>
      </w:r>
      <w:r>
        <w:rPr>
          <w:rFonts w:hint="default" w:ascii="仿宋_GB2312" w:hAnsi="仿宋_GB2312" w:eastAsia="仿宋_GB2312" w:cs="仿宋_GB2312"/>
          <w:b w:val="0"/>
          <w:bCs w:val="0"/>
          <w:sz w:val="32"/>
          <w:szCs w:val="32"/>
          <w:lang w:val="en-US" w:eastAsia="zh-CN"/>
        </w:rPr>
        <w:t>科研机构分类绩效评价策略研究</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研究内容：建立合理、规范的科研机构分类绩效评价体系，既有助于科研机构健康有序发展，也有助于健全科研机构管理体制。借鉴国内外顶尖科研机构绩效评价的典型做法和先进经验，</w:t>
      </w:r>
      <w:r>
        <w:rPr>
          <w:rFonts w:hint="eastAsia" w:ascii="仿宋_GB2312" w:hAnsi="仿宋_GB2312" w:eastAsia="仿宋_GB2312" w:cs="仿宋_GB2312"/>
          <w:b w:val="0"/>
          <w:bCs w:val="0"/>
          <w:sz w:val="32"/>
          <w:szCs w:val="32"/>
          <w:lang w:val="en-US" w:eastAsia="zh-CN"/>
        </w:rPr>
        <w:t>结合</w:t>
      </w:r>
      <w:r>
        <w:rPr>
          <w:rFonts w:hint="default" w:ascii="仿宋_GB2312" w:hAnsi="仿宋_GB2312" w:eastAsia="仿宋_GB2312" w:cs="仿宋_GB2312"/>
          <w:b w:val="0"/>
          <w:bCs w:val="0"/>
          <w:sz w:val="32"/>
          <w:szCs w:val="32"/>
          <w:lang w:val="en-US" w:eastAsia="zh-CN"/>
        </w:rPr>
        <w:t>我市科研机构发展实际，从制度建设、平台建设、人才集聚、科研成效、财务管理、监督考核等方面研究提出深圳市科研机构分类绩效评价的指标体系及相关建议举措，</w:t>
      </w:r>
      <w:r>
        <w:rPr>
          <w:rFonts w:hint="eastAsia" w:ascii="仿宋_GB2312" w:hAnsi="仿宋_GB2312" w:eastAsia="仿宋_GB2312" w:cs="仿宋_GB2312"/>
          <w:b w:val="0"/>
          <w:bCs w:val="0"/>
          <w:sz w:val="32"/>
          <w:szCs w:val="32"/>
          <w:lang w:val="en-US" w:eastAsia="zh-CN"/>
        </w:rPr>
        <w:t>强化</w:t>
      </w:r>
      <w:r>
        <w:rPr>
          <w:rFonts w:hint="default" w:ascii="仿宋_GB2312" w:hAnsi="仿宋_GB2312" w:eastAsia="仿宋_GB2312" w:cs="仿宋_GB2312"/>
          <w:b w:val="0"/>
          <w:bCs w:val="0"/>
          <w:sz w:val="32"/>
          <w:szCs w:val="32"/>
          <w:lang w:val="en-US" w:eastAsia="zh-CN"/>
        </w:rPr>
        <w:t>科研机构</w:t>
      </w:r>
      <w:r>
        <w:rPr>
          <w:rFonts w:hint="eastAsia" w:ascii="仿宋_GB2312" w:hAnsi="仿宋_GB2312" w:eastAsia="仿宋_GB2312" w:cs="仿宋_GB2312"/>
          <w:b w:val="0"/>
          <w:bCs w:val="0"/>
          <w:sz w:val="32"/>
          <w:szCs w:val="32"/>
          <w:lang w:val="en-US" w:eastAsia="zh-CN"/>
        </w:rPr>
        <w:t>对创新链、</w:t>
      </w:r>
      <w:r>
        <w:rPr>
          <w:rFonts w:hint="default" w:ascii="仿宋_GB2312" w:hAnsi="仿宋_GB2312" w:eastAsia="仿宋_GB2312" w:cs="仿宋_GB2312"/>
          <w:b w:val="0"/>
          <w:bCs w:val="0"/>
          <w:sz w:val="32"/>
          <w:szCs w:val="32"/>
          <w:lang w:val="en-US" w:eastAsia="zh-CN"/>
        </w:rPr>
        <w:t>产业链、</w:t>
      </w:r>
      <w:r>
        <w:rPr>
          <w:rFonts w:hint="eastAsia" w:ascii="仿宋_GB2312" w:hAnsi="仿宋_GB2312" w:eastAsia="仿宋_GB2312" w:cs="仿宋_GB2312"/>
          <w:b w:val="0"/>
          <w:bCs w:val="0"/>
          <w:sz w:val="32"/>
          <w:szCs w:val="32"/>
          <w:lang w:val="en-US" w:eastAsia="zh-CN"/>
        </w:rPr>
        <w:t>教育链</w:t>
      </w:r>
      <w:r>
        <w:rPr>
          <w:rFonts w:hint="default" w:ascii="仿宋_GB2312" w:hAnsi="仿宋_GB2312" w:eastAsia="仿宋_GB2312" w:cs="仿宋_GB2312"/>
          <w:b w:val="0"/>
          <w:bCs w:val="0"/>
          <w:sz w:val="32"/>
          <w:szCs w:val="32"/>
          <w:lang w:val="en-US" w:eastAsia="zh-CN"/>
        </w:rPr>
        <w:t>、人才链</w:t>
      </w:r>
      <w:r>
        <w:rPr>
          <w:rFonts w:hint="eastAsia" w:ascii="仿宋_GB2312" w:hAnsi="仿宋_GB2312" w:eastAsia="仿宋_GB2312" w:cs="仿宋_GB2312"/>
          <w:b w:val="0"/>
          <w:bCs w:val="0"/>
          <w:sz w:val="32"/>
          <w:szCs w:val="32"/>
          <w:lang w:val="en-US" w:eastAsia="zh-CN"/>
        </w:rPr>
        <w:t>协同的支撑作用</w:t>
      </w:r>
      <w:r>
        <w:rPr>
          <w:rFonts w:hint="default" w:ascii="仿宋_GB2312" w:hAnsi="仿宋_GB2312" w:eastAsia="仿宋_GB2312" w:cs="仿宋_GB2312"/>
          <w:b w:val="0"/>
          <w:bCs w:val="0"/>
          <w:sz w:val="32"/>
          <w:szCs w:val="32"/>
          <w:lang w:val="en-US" w:eastAsia="zh-CN"/>
        </w:rPr>
        <w:t>，形成《深圳市科研机构分类绩效评价对策建议》。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资助金额：50万元。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val="en-US" w:eastAsia="zh-CN"/>
        </w:rPr>
        <w:t>项目名称：深圳市科技成果产业化策略研究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为深化科技供给侧结构性改革，完善“基础研究+技术攻关+成果产业化+科技金融+人才支撑”全过程创新生态链，系统调研我市战略性新兴产业和未来产业科技成果产业化现状，以问题、需求、目标为导向，健全多维度、全方位的科技成果评价体系，提出科技成果产业化应对策略，形成《我市重点产业科技成果产业链条图谱》和《强化战略性新兴产业和未来产业科技成果产业化的对策建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资助金额：50万元。</w:t>
      </w:r>
    </w:p>
    <w:p>
      <w:pPr>
        <w:spacing w:line="560" w:lineRule="exact"/>
        <w:ind w:firstLine="640" w:firstLineChars="200"/>
        <w:rPr>
          <w:rFonts w:hint="eastAsia" w:ascii="仿宋_GB2312" w:hAnsi="仿宋_GB2312" w:eastAsia="仿宋_GB2312" w:cs="仿宋_GB2312"/>
          <w:b w:val="0"/>
          <w:bCs w:val="0"/>
          <w:sz w:val="32"/>
          <w:szCs w:val="32"/>
          <w:lang w:val="en-US" w:eastAsia="zh-CN"/>
        </w:rPr>
      </w:pPr>
    </w:p>
    <w:p>
      <w:pPr>
        <w:spacing w:line="560" w:lineRule="exact"/>
        <w:ind w:firstLine="640" w:firstLineChars="200"/>
        <w:rPr>
          <w:rFonts w:hint="eastAsia" w:ascii="仿宋_GB2312" w:eastAsia="仿宋_GB2312"/>
          <w:b w:val="0"/>
          <w:bCs w:val="0"/>
          <w:sz w:val="32"/>
          <w:szCs w:val="32"/>
          <w:lang w:eastAsia="zh-CN"/>
        </w:rPr>
      </w:pPr>
      <w:r>
        <w:rPr>
          <w:rFonts w:hint="default"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val="en-US" w:eastAsia="zh-CN"/>
        </w:rPr>
        <w:t>.项目名称：</w:t>
      </w:r>
      <w:r>
        <w:rPr>
          <w:rFonts w:hint="eastAsia" w:ascii="仿宋_GB2312" w:eastAsia="仿宋_GB2312"/>
          <w:b w:val="0"/>
          <w:bCs w:val="0"/>
          <w:sz w:val="32"/>
          <w:szCs w:val="32"/>
        </w:rPr>
        <w:t>深圳市产业孵化高质量发展</w:t>
      </w:r>
      <w:r>
        <w:rPr>
          <w:rFonts w:hint="eastAsia" w:ascii="仿宋_GB2312" w:eastAsia="仿宋_GB2312"/>
          <w:b w:val="0"/>
          <w:bCs w:val="0"/>
          <w:sz w:val="32"/>
          <w:szCs w:val="32"/>
          <w:lang w:eastAsia="zh-CN"/>
        </w:rPr>
        <w:t>策略研究</w:t>
      </w:r>
    </w:p>
    <w:p>
      <w:pPr>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研究内容：孵化载体是集聚创新资源、培育企业、打造区域经济增长极的重要阵地</w:t>
      </w:r>
      <w:r>
        <w:rPr>
          <w:rFonts w:hint="eastAsia" w:ascii="仿宋_GB2312" w:eastAsia="仿宋_GB2312"/>
          <w:b w:val="0"/>
          <w:bCs w:val="0"/>
          <w:sz w:val="32"/>
          <w:szCs w:val="32"/>
          <w:lang w:eastAsia="zh-CN"/>
        </w:rPr>
        <w:t>，是</w:t>
      </w:r>
      <w:r>
        <w:rPr>
          <w:rFonts w:ascii="仿宋_GB2312" w:eastAsia="仿宋_GB2312"/>
          <w:b w:val="0"/>
          <w:bCs w:val="0"/>
          <w:sz w:val="32"/>
          <w:szCs w:val="32"/>
        </w:rPr>
        <w:t>推动创新链与产业链深度融合</w:t>
      </w:r>
      <w:r>
        <w:rPr>
          <w:rFonts w:hint="eastAsia" w:ascii="仿宋_GB2312" w:eastAsia="仿宋_GB2312"/>
          <w:b w:val="0"/>
          <w:bCs w:val="0"/>
          <w:sz w:val="32"/>
          <w:szCs w:val="32"/>
          <w:lang w:eastAsia="zh-CN"/>
        </w:rPr>
        <w:t>的</w:t>
      </w:r>
      <w:r>
        <w:rPr>
          <w:rFonts w:ascii="仿宋_GB2312" w:eastAsia="仿宋_GB2312"/>
          <w:b w:val="0"/>
          <w:bCs w:val="0"/>
          <w:sz w:val="32"/>
          <w:szCs w:val="32"/>
        </w:rPr>
        <w:t>关键纽带</w:t>
      </w:r>
      <w:r>
        <w:rPr>
          <w:rFonts w:hint="eastAsia" w:ascii="仿宋_GB2312" w:eastAsia="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深圳市科技创新“十四五”规划提出，要</w:t>
      </w:r>
      <w:r>
        <w:rPr>
          <w:rFonts w:hint="eastAsia" w:ascii="仿宋_GB2312" w:eastAsia="仿宋_GB2312"/>
          <w:b w:val="0"/>
          <w:bCs w:val="0"/>
          <w:sz w:val="32"/>
          <w:szCs w:val="32"/>
          <w:lang w:eastAsia="zh-CN"/>
        </w:rPr>
        <w:t>构建全链条孵化育成体系，</w:t>
      </w:r>
      <w:r>
        <w:rPr>
          <w:rFonts w:hint="eastAsia" w:ascii="仿宋_GB2312" w:hAnsi="仿宋" w:eastAsia="仿宋_GB2312" w:cs="仿宋"/>
          <w:b w:val="0"/>
          <w:bCs w:val="0"/>
          <w:color w:val="auto"/>
          <w:sz w:val="32"/>
          <w:szCs w:val="32"/>
        </w:rPr>
        <w:t>加强众创空间、孵化器、加速器、科技园区布局建设。</w:t>
      </w:r>
      <w:r>
        <w:rPr>
          <w:rFonts w:hint="eastAsia" w:ascii="仿宋_GB2312" w:eastAsia="仿宋_GB2312"/>
          <w:b w:val="0"/>
          <w:bCs w:val="0"/>
          <w:sz w:val="32"/>
          <w:szCs w:val="32"/>
          <w:lang w:eastAsia="zh-CN"/>
        </w:rPr>
        <w:t>深入调研摸底深圳</w:t>
      </w:r>
      <w:r>
        <w:rPr>
          <w:rFonts w:hint="eastAsia" w:ascii="仿宋_GB2312" w:eastAsia="仿宋_GB2312"/>
          <w:b w:val="0"/>
          <w:bCs w:val="0"/>
          <w:sz w:val="32"/>
          <w:szCs w:val="32"/>
        </w:rPr>
        <w:t>孵化载体</w:t>
      </w:r>
      <w:r>
        <w:rPr>
          <w:rFonts w:hint="eastAsia" w:ascii="仿宋_GB2312" w:eastAsia="仿宋_GB2312"/>
          <w:b w:val="0"/>
          <w:bCs w:val="0"/>
          <w:sz w:val="32"/>
          <w:szCs w:val="32"/>
          <w:lang w:eastAsia="zh-CN"/>
        </w:rPr>
        <w:t>现有</w:t>
      </w:r>
      <w:r>
        <w:rPr>
          <w:rFonts w:hint="eastAsia" w:ascii="仿宋_GB2312" w:eastAsia="仿宋_GB2312"/>
          <w:b w:val="0"/>
          <w:bCs w:val="0"/>
          <w:sz w:val="32"/>
          <w:szCs w:val="32"/>
        </w:rPr>
        <w:t>规模、增量和结构性数据，形成</w:t>
      </w:r>
      <w:r>
        <w:rPr>
          <w:rFonts w:hint="eastAsia" w:ascii="仿宋_GB2312" w:eastAsia="仿宋_GB2312"/>
          <w:b w:val="0"/>
          <w:bCs w:val="0"/>
          <w:sz w:val="32"/>
          <w:szCs w:val="32"/>
          <w:lang w:eastAsia="zh-CN"/>
        </w:rPr>
        <w:t>深圳</w:t>
      </w:r>
      <w:r>
        <w:rPr>
          <w:rFonts w:hint="eastAsia" w:ascii="仿宋_GB2312" w:eastAsia="仿宋_GB2312"/>
          <w:b w:val="0"/>
          <w:bCs w:val="0"/>
          <w:sz w:val="32"/>
          <w:szCs w:val="32"/>
        </w:rPr>
        <w:t>孵化载体数据库，分析孵化载体</w:t>
      </w:r>
      <w:r>
        <w:rPr>
          <w:rFonts w:hint="eastAsia" w:ascii="仿宋_GB2312" w:eastAsia="仿宋_GB2312"/>
          <w:b w:val="0"/>
          <w:bCs w:val="0"/>
          <w:sz w:val="32"/>
          <w:szCs w:val="32"/>
          <w:lang w:eastAsia="zh-CN"/>
        </w:rPr>
        <w:t>的</w:t>
      </w:r>
      <w:r>
        <w:rPr>
          <w:rFonts w:hint="eastAsia" w:ascii="仿宋_GB2312" w:eastAsia="仿宋_GB2312"/>
          <w:b w:val="0"/>
          <w:bCs w:val="0"/>
          <w:sz w:val="32"/>
          <w:szCs w:val="32"/>
        </w:rPr>
        <w:t>功能体系、经营结构、在孵及累计毕业企业发展情况</w:t>
      </w:r>
      <w:r>
        <w:rPr>
          <w:rFonts w:hint="eastAsia" w:ascii="仿宋_GB2312" w:eastAsia="仿宋_GB2312"/>
          <w:b w:val="0"/>
          <w:bCs w:val="0"/>
          <w:sz w:val="32"/>
          <w:szCs w:val="32"/>
          <w:lang w:eastAsia="zh-CN"/>
        </w:rPr>
        <w:t>及对深圳科技及产业发展的贡献度，在借鉴</w:t>
      </w:r>
      <w:r>
        <w:rPr>
          <w:rFonts w:hint="eastAsia" w:ascii="仿宋_GB2312" w:eastAsia="仿宋_GB2312"/>
          <w:b w:val="0"/>
          <w:bCs w:val="0"/>
          <w:sz w:val="32"/>
          <w:szCs w:val="32"/>
        </w:rPr>
        <w:t>先进城市孵化载体</w:t>
      </w:r>
      <w:r>
        <w:rPr>
          <w:rFonts w:hint="eastAsia" w:ascii="仿宋_GB2312" w:eastAsia="仿宋_GB2312"/>
          <w:b w:val="0"/>
          <w:bCs w:val="0"/>
          <w:sz w:val="32"/>
          <w:szCs w:val="32"/>
          <w:lang w:eastAsia="zh-CN"/>
        </w:rPr>
        <w:t>发展经验及</w:t>
      </w:r>
      <w:r>
        <w:rPr>
          <w:rFonts w:hint="eastAsia" w:ascii="仿宋_GB2312" w:eastAsia="仿宋_GB2312"/>
          <w:b w:val="0"/>
          <w:bCs w:val="0"/>
          <w:sz w:val="32"/>
          <w:szCs w:val="32"/>
        </w:rPr>
        <w:t>演变新趋势</w:t>
      </w:r>
      <w:r>
        <w:rPr>
          <w:rFonts w:hint="eastAsia" w:ascii="仿宋_GB2312" w:eastAsia="仿宋_GB2312"/>
          <w:b w:val="0"/>
          <w:bCs w:val="0"/>
          <w:sz w:val="32"/>
          <w:szCs w:val="32"/>
          <w:lang w:eastAsia="zh-CN"/>
        </w:rPr>
        <w:t>的基础上</w:t>
      </w:r>
      <w:r>
        <w:rPr>
          <w:rFonts w:hint="eastAsia" w:ascii="仿宋_GB2312" w:eastAsia="仿宋_GB2312"/>
          <w:b w:val="0"/>
          <w:bCs w:val="0"/>
          <w:sz w:val="32"/>
          <w:szCs w:val="32"/>
        </w:rPr>
        <w:t>，提出</w:t>
      </w:r>
      <w:r>
        <w:rPr>
          <w:rFonts w:hint="eastAsia" w:ascii="仿宋_GB2312" w:eastAsia="仿宋_GB2312"/>
          <w:b w:val="0"/>
          <w:bCs w:val="0"/>
          <w:sz w:val="32"/>
          <w:szCs w:val="32"/>
          <w:lang w:eastAsia="zh-CN"/>
        </w:rPr>
        <w:t>深圳</w:t>
      </w:r>
      <w:r>
        <w:rPr>
          <w:rFonts w:hint="eastAsia" w:ascii="仿宋_GB2312" w:eastAsia="仿宋_GB2312"/>
          <w:b w:val="0"/>
          <w:bCs w:val="0"/>
          <w:sz w:val="32"/>
          <w:szCs w:val="32"/>
        </w:rPr>
        <w:t>孵化载体高质量转型发展的方向及路径</w:t>
      </w:r>
      <w:r>
        <w:rPr>
          <w:rFonts w:hint="eastAsia" w:ascii="仿宋_GB2312" w:eastAsia="仿宋_GB2312"/>
          <w:b w:val="0"/>
          <w:bCs w:val="0"/>
          <w:sz w:val="32"/>
          <w:szCs w:val="32"/>
          <w:lang w:eastAsia="zh-CN"/>
        </w:rPr>
        <w:t>建议，</w:t>
      </w:r>
      <w:r>
        <w:rPr>
          <w:rFonts w:hint="eastAsia" w:ascii="仿宋_GB2312" w:eastAsia="仿宋_GB2312"/>
          <w:b w:val="0"/>
          <w:bCs w:val="0"/>
          <w:sz w:val="32"/>
          <w:szCs w:val="32"/>
        </w:rPr>
        <w:t>形成《深圳市产业孵化高质量发展的对策建议》。</w:t>
      </w:r>
    </w:p>
    <w:p>
      <w:pPr>
        <w:spacing w:line="560" w:lineRule="exact"/>
        <w:ind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资助金额：50万元。</w:t>
      </w:r>
    </w:p>
    <w:p>
      <w:pPr>
        <w:pStyle w:val="2"/>
        <w:keepNext w:val="0"/>
        <w:keepLines w:val="0"/>
        <w:pageBreakBefore w:val="0"/>
        <w:widowControl w:val="0"/>
        <w:kinsoku/>
        <w:wordWrap/>
        <w:overflowPunct/>
        <w:topLinePunct w:val="0"/>
        <w:bidi w:val="0"/>
        <w:snapToGrid/>
        <w:spacing w:line="560" w:lineRule="exact"/>
        <w:textAlignment w:val="auto"/>
        <w:rPr>
          <w:rFonts w:hint="default" w:ascii="仿宋_GB2312" w:hAnsi="仿宋_GB2312" w:eastAsia="仿宋_GB2312" w:cs="仿宋_GB2312"/>
          <w:b w:val="0"/>
          <w:bCs w:val="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1.项目名称：深圳市生物医药科技创新“跨越式”发展对策研究</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研究内容：国家发改委、工信部等部门陆续出台《“十四五”生物经济发展规划》《“十四五”医药工业发展规划》《“十四五”医疗装备产业发展规划》，提出推动生物医药产业创新驱动转型，实现产业链供应链稳定可控。深入研究</w:t>
      </w:r>
      <w:r>
        <w:rPr>
          <w:rFonts w:hint="eastAsia" w:ascii="仿宋_GB2312" w:hAnsi="仿宋_GB2312" w:eastAsia="仿宋_GB2312" w:cs="仿宋_GB2312"/>
          <w:b w:val="0"/>
          <w:bCs w:val="0"/>
          <w:sz w:val="32"/>
          <w:szCs w:val="32"/>
          <w:lang w:val="en-US" w:eastAsia="zh-CN"/>
        </w:rPr>
        <w:t>国内外及</w:t>
      </w:r>
      <w:r>
        <w:rPr>
          <w:rFonts w:hint="default" w:ascii="仿宋_GB2312" w:hAnsi="仿宋_GB2312" w:eastAsia="仿宋_GB2312" w:cs="仿宋_GB2312"/>
          <w:b w:val="0"/>
          <w:bCs w:val="0"/>
          <w:sz w:val="32"/>
          <w:szCs w:val="32"/>
          <w:lang w:val="en-US" w:eastAsia="zh-CN"/>
        </w:rPr>
        <w:t>深圳生物医药科技产业发展情况</w:t>
      </w:r>
      <w:r>
        <w:rPr>
          <w:rFonts w:hint="eastAsia" w:ascii="仿宋_GB2312" w:hAnsi="仿宋_GB2312" w:eastAsia="仿宋_GB2312" w:cs="仿宋_GB2312"/>
          <w:b w:val="0"/>
          <w:bCs w:val="0"/>
          <w:sz w:val="32"/>
          <w:szCs w:val="32"/>
          <w:lang w:val="en-US" w:eastAsia="zh-CN"/>
        </w:rPr>
        <w:t>，学习借鉴</w:t>
      </w:r>
      <w:r>
        <w:rPr>
          <w:rFonts w:hint="default" w:ascii="仿宋_GB2312" w:hAnsi="仿宋_GB2312" w:eastAsia="仿宋_GB2312" w:cs="仿宋_GB2312"/>
          <w:b w:val="0"/>
          <w:bCs w:val="0"/>
          <w:sz w:val="32"/>
          <w:szCs w:val="32"/>
          <w:lang w:val="en-US" w:eastAsia="zh-CN"/>
        </w:rPr>
        <w:t>生物医药先进地区</w:t>
      </w:r>
      <w:r>
        <w:rPr>
          <w:rFonts w:hint="eastAsia" w:ascii="仿宋_GB2312" w:hAnsi="仿宋_GB2312" w:eastAsia="仿宋_GB2312" w:cs="仿宋_GB2312"/>
          <w:b w:val="0"/>
          <w:bCs w:val="0"/>
          <w:sz w:val="32"/>
          <w:szCs w:val="32"/>
          <w:lang w:val="en-US" w:eastAsia="zh-CN"/>
        </w:rPr>
        <w:t>发展经验</w:t>
      </w:r>
      <w:r>
        <w:rPr>
          <w:rFonts w:hint="default" w:ascii="仿宋_GB2312" w:hAnsi="仿宋_GB2312" w:eastAsia="仿宋_GB2312" w:cs="仿宋_GB2312"/>
          <w:b w:val="0"/>
          <w:bCs w:val="0"/>
          <w:sz w:val="32"/>
          <w:szCs w:val="32"/>
          <w:lang w:val="en-US" w:eastAsia="zh-CN"/>
        </w:rPr>
        <w:t>，分析深圳生物医药科技创新</w:t>
      </w:r>
      <w:r>
        <w:rPr>
          <w:rFonts w:hint="eastAsia" w:ascii="仿宋_GB2312" w:hAnsi="仿宋_GB2312" w:eastAsia="仿宋_GB2312" w:cs="仿宋_GB2312"/>
          <w:b w:val="0"/>
          <w:bCs w:val="0"/>
          <w:sz w:val="32"/>
          <w:szCs w:val="32"/>
          <w:lang w:val="en-US" w:eastAsia="zh-CN"/>
        </w:rPr>
        <w:t>发展</w:t>
      </w:r>
      <w:r>
        <w:rPr>
          <w:rFonts w:hint="default" w:ascii="仿宋_GB2312" w:hAnsi="仿宋_GB2312" w:eastAsia="仿宋_GB2312" w:cs="仿宋_GB2312"/>
          <w:b w:val="0"/>
          <w:bCs w:val="0"/>
          <w:sz w:val="32"/>
          <w:szCs w:val="32"/>
          <w:lang w:val="en-US" w:eastAsia="zh-CN"/>
        </w:rPr>
        <w:t>存在问题，</w:t>
      </w:r>
      <w:r>
        <w:rPr>
          <w:rFonts w:hint="eastAsia" w:ascii="仿宋_GB2312" w:hAnsi="仿宋_GB2312" w:eastAsia="仿宋_GB2312" w:cs="仿宋_GB2312"/>
          <w:b w:val="0"/>
          <w:bCs w:val="0"/>
          <w:sz w:val="32"/>
          <w:szCs w:val="32"/>
          <w:lang w:val="en-US" w:eastAsia="zh-CN"/>
        </w:rPr>
        <w:t>提出促进深圳</w:t>
      </w:r>
      <w:r>
        <w:rPr>
          <w:rFonts w:hint="default" w:ascii="仿宋_GB2312" w:hAnsi="仿宋_GB2312" w:eastAsia="仿宋_GB2312" w:cs="仿宋_GB2312"/>
          <w:b w:val="0"/>
          <w:bCs w:val="0"/>
          <w:sz w:val="32"/>
          <w:szCs w:val="32"/>
          <w:lang w:val="en-US" w:eastAsia="zh-CN"/>
        </w:rPr>
        <w:t>生物医药科技创新发展</w:t>
      </w:r>
      <w:r>
        <w:rPr>
          <w:rFonts w:hint="eastAsia" w:ascii="仿宋_GB2312" w:hAnsi="仿宋_GB2312" w:eastAsia="仿宋_GB2312" w:cs="仿宋_GB2312"/>
          <w:b w:val="0"/>
          <w:bCs w:val="0"/>
          <w:sz w:val="32"/>
          <w:szCs w:val="32"/>
          <w:lang w:val="en-US" w:eastAsia="zh-CN"/>
        </w:rPr>
        <w:t>的思路举措建议</w:t>
      </w:r>
      <w:r>
        <w:rPr>
          <w:rFonts w:hint="default" w:ascii="仿宋_GB2312" w:hAnsi="仿宋_GB2312" w:eastAsia="仿宋_GB2312" w:cs="仿宋_GB2312"/>
          <w:b w:val="0"/>
          <w:bCs w:val="0"/>
          <w:sz w:val="32"/>
          <w:szCs w:val="32"/>
          <w:lang w:val="en-US" w:eastAsia="zh-CN"/>
        </w:rPr>
        <w:t>，绘制生物医药创新链、产业链、教育链</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人才链</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四链图谱</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，推动</w:t>
      </w:r>
      <w:r>
        <w:rPr>
          <w:rFonts w:hint="eastAsia" w:ascii="仿宋_GB2312" w:hAnsi="仿宋_GB2312" w:eastAsia="仿宋_GB2312" w:cs="仿宋_GB2312"/>
          <w:b w:val="0"/>
          <w:bCs w:val="0"/>
          <w:sz w:val="32"/>
          <w:szCs w:val="32"/>
          <w:lang w:val="en-US" w:eastAsia="zh-CN"/>
        </w:rPr>
        <w:t>深圳</w:t>
      </w:r>
      <w:r>
        <w:rPr>
          <w:rFonts w:hint="default" w:ascii="仿宋_GB2312" w:hAnsi="仿宋_GB2312" w:eastAsia="仿宋_GB2312" w:cs="仿宋_GB2312"/>
          <w:b w:val="0"/>
          <w:bCs w:val="0"/>
          <w:sz w:val="32"/>
          <w:szCs w:val="32"/>
          <w:lang w:val="en-US" w:eastAsia="zh-CN"/>
        </w:rPr>
        <w:t>生物医药产业高质量发展，形成《深圳市生物医药科技创新“跨越式”发展对策研究报告》。</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资助金额：</w:t>
      </w:r>
      <w:r>
        <w:rPr>
          <w:rFonts w:hint="eastAsia" w:ascii="仿宋_GB2312" w:hAnsi="仿宋_GB2312" w:eastAsia="仿宋_GB2312" w:cs="仿宋_GB2312"/>
          <w:b w:val="0"/>
          <w:bCs w:val="0"/>
          <w:sz w:val="32"/>
          <w:szCs w:val="32"/>
          <w:lang w:val="en-US" w:eastAsia="zh-CN"/>
        </w:rPr>
        <w:t>50</w:t>
      </w:r>
      <w:r>
        <w:rPr>
          <w:rFonts w:hint="default" w:ascii="仿宋_GB2312" w:hAnsi="仿宋_GB2312" w:eastAsia="仿宋_GB2312" w:cs="仿宋_GB2312"/>
          <w:b w:val="0"/>
          <w:bCs w:val="0"/>
          <w:sz w:val="32"/>
          <w:szCs w:val="32"/>
          <w:lang w:val="en-US" w:eastAsia="zh-CN"/>
        </w:rPr>
        <w:t>万元。</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b w:val="0"/>
          <w:bCs w:val="0"/>
          <w:sz w:val="32"/>
          <w:lang w:val="en-US" w:eastAsia="zh-CN"/>
        </w:rPr>
      </w:pPr>
      <w:r>
        <w:rPr>
          <w:rFonts w:hint="eastAsia" w:ascii="仿宋_GB2312" w:eastAsia="仿宋_GB2312"/>
          <w:b w:val="0"/>
          <w:bCs w:val="0"/>
          <w:sz w:val="32"/>
          <w:lang w:val="en-US" w:eastAsia="zh-CN"/>
        </w:rPr>
        <w:t>1</w:t>
      </w:r>
      <w:r>
        <w:rPr>
          <w:rFonts w:hint="default" w:ascii="仿宋_GB2312" w:eastAsia="仿宋_GB2312"/>
          <w:b w:val="0"/>
          <w:bCs w:val="0"/>
          <w:sz w:val="32"/>
          <w:lang w:val="en-US" w:eastAsia="zh-CN"/>
        </w:rPr>
        <w:t>2.</w:t>
      </w:r>
      <w:r>
        <w:rPr>
          <w:rFonts w:hint="eastAsia" w:ascii="仿宋_GB2312" w:eastAsia="仿宋_GB2312"/>
          <w:b w:val="0"/>
          <w:bCs w:val="0"/>
          <w:sz w:val="32"/>
          <w:lang w:val="en-US" w:eastAsia="zh-CN"/>
        </w:rPr>
        <w:t>项目名称：深圳市财政科技资源优化配置策略研究</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b w:val="0"/>
          <w:bCs w:val="0"/>
          <w:sz w:val="32"/>
          <w:lang w:val="en-US" w:eastAsia="zh-CN"/>
        </w:rPr>
      </w:pPr>
      <w:r>
        <w:rPr>
          <w:rFonts w:hint="eastAsia" w:ascii="仿宋_GB2312" w:eastAsia="仿宋_GB2312"/>
          <w:b w:val="0"/>
          <w:bCs w:val="0"/>
          <w:sz w:val="32"/>
          <w:lang w:val="en-US" w:eastAsia="zh-CN"/>
        </w:rPr>
        <w:t>研究内容：系统梳理科技发达国家或地区科技资源配置政策体系、管理架构、组织方式等内容，</w:t>
      </w:r>
      <w:r>
        <w:rPr>
          <w:rFonts w:hint="eastAsia" w:ascii="仿宋_GB2312" w:hAnsi="仿宋_GB2312" w:eastAsia="仿宋_GB2312" w:cs="仿宋_GB2312"/>
          <w:b w:val="0"/>
          <w:bCs w:val="0"/>
          <w:sz w:val="32"/>
          <w:szCs w:val="32"/>
          <w:lang w:val="en-US" w:eastAsia="zh-CN"/>
        </w:rPr>
        <w:t>总结提炼主要经验；梳理分析</w:t>
      </w:r>
      <w:r>
        <w:rPr>
          <w:rFonts w:hint="eastAsia" w:ascii="仿宋_GB2312" w:eastAsia="仿宋_GB2312"/>
          <w:b w:val="0"/>
          <w:bCs w:val="0"/>
          <w:sz w:val="32"/>
          <w:lang w:val="en-US" w:eastAsia="zh-CN"/>
        </w:rPr>
        <w:t>科技部、国家自然科学基金委员会及国内先进省市科技资源配置政策体系、管理架构、组织方式、资金投入、实施成效及在</w:t>
      </w:r>
      <w:r>
        <w:rPr>
          <w:rFonts w:hint="eastAsia" w:ascii="仿宋_GB2312" w:hAnsi="仿宋_GB2312" w:eastAsia="仿宋_GB2312" w:cs="仿宋_GB2312"/>
          <w:b w:val="0"/>
          <w:bCs w:val="0"/>
          <w:sz w:val="32"/>
          <w:szCs w:val="32"/>
          <w:lang w:val="en-US" w:eastAsia="zh-CN"/>
        </w:rPr>
        <w:t>项目评审、人才评价、机构评估方面的主要做法</w:t>
      </w:r>
      <w:r>
        <w:rPr>
          <w:rFonts w:hint="eastAsia" w:ascii="仿宋_GB2312" w:eastAsia="仿宋_GB2312"/>
          <w:b w:val="0"/>
          <w:bCs w:val="0"/>
          <w:sz w:val="32"/>
          <w:lang w:val="en-US" w:eastAsia="zh-CN"/>
        </w:rPr>
        <w:t>，</w:t>
      </w:r>
      <w:r>
        <w:rPr>
          <w:rFonts w:hint="eastAsia" w:ascii="仿宋_GB2312" w:hAnsi="仿宋_GB2312" w:eastAsia="仿宋_GB2312" w:cs="仿宋_GB2312"/>
          <w:b w:val="0"/>
          <w:bCs w:val="0"/>
          <w:sz w:val="32"/>
          <w:szCs w:val="32"/>
          <w:lang w:val="en-US" w:eastAsia="zh-CN"/>
        </w:rPr>
        <w:t>总结提炼主要经验</w:t>
      </w:r>
      <w:r>
        <w:rPr>
          <w:rFonts w:hint="eastAsia" w:ascii="仿宋_GB2312" w:eastAsia="仿宋_GB2312"/>
          <w:b w:val="0"/>
          <w:bCs w:val="0"/>
          <w:sz w:val="32"/>
          <w:lang w:val="en-US" w:eastAsia="zh-CN"/>
        </w:rPr>
        <w:t>。深入调研分析深圳市财政科技资源配置情况和存在问题，结合深圳科技创新发展需求，学习借鉴经验做法，对深圳市财政科技资源如何优化配置提出策略建议，形成《深圳市财政科技资源配置策略研究报告》。</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eastAsia="仿宋_GB2312"/>
          <w:b w:val="0"/>
          <w:bCs w:val="0"/>
          <w:sz w:val="32"/>
          <w:lang w:val="en-US" w:eastAsia="zh-CN"/>
        </w:rPr>
      </w:pPr>
      <w:r>
        <w:rPr>
          <w:rFonts w:hint="eastAsia" w:ascii="仿宋_GB2312" w:eastAsia="仿宋_GB2312"/>
          <w:b w:val="0"/>
          <w:bCs w:val="0"/>
          <w:sz w:val="32"/>
          <w:lang w:val="en-US" w:eastAsia="zh-CN"/>
        </w:rPr>
        <w:t>资助金额：50万元。</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val="en-US" w:eastAsia="zh-CN"/>
        </w:rPr>
        <w:t>项目名称：构建面向“十四五”的深圳科技伦理治理体系建设与科技监督格局策略研究</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根据国家关于加强科技伦理治理意见的精神，面向深圳市科技创新“十四五”规划目标和方向，前瞻研判重点领域科技发展带来的规则冲突、社会风险、伦理挑战，探索建立科技伦理风险监测指标与治理体系，明晰科技伦理风险底线，为完善科技监督大格局、营造良好的科研创新生态、支撑科技创新高质量发展提供支撑，形成《构建面向“十四五”的深圳科技伦理治理体系建设与科技监督格局策略研究报告》。</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资助金额：50万元。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lang w:eastAsia="zh-CN"/>
        </w:rPr>
        <w:t>构建</w:t>
      </w:r>
      <w:r>
        <w:rPr>
          <w:rFonts w:hint="eastAsia" w:ascii="仿宋_GB2312" w:hAnsi="仿宋_GB2312" w:eastAsia="仿宋_GB2312" w:cs="仿宋_GB2312"/>
          <w:b w:val="0"/>
          <w:bCs w:val="0"/>
          <w:color w:val="000000"/>
          <w:kern w:val="0"/>
          <w:sz w:val="32"/>
          <w:szCs w:val="32"/>
          <w:lang w:val="en-US" w:eastAsia="zh-CN" w:bidi="ar-SA"/>
        </w:rPr>
        <w:t>全过程创新生态链的统计分析体系策略研究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sz w:val="32"/>
          <w:szCs w:val="32"/>
        </w:rPr>
        <w:t>研究内容：科技统计是</w:t>
      </w:r>
      <w:r>
        <w:rPr>
          <w:rFonts w:hint="eastAsia" w:ascii="仿宋_GB2312" w:hAnsi="仿宋_GB2312" w:eastAsia="仿宋_GB2312" w:cs="仿宋_GB2312"/>
          <w:b w:val="0"/>
          <w:bCs w:val="0"/>
          <w:sz w:val="32"/>
          <w:szCs w:val="32"/>
          <w:lang w:eastAsia="zh-CN"/>
        </w:rPr>
        <w:t>反映和认识科技活动的重要手段，是制定科技政策、科技发展规划的重要依据，是科技管理科学化、现代化的基础。为</w:t>
      </w:r>
      <w:r>
        <w:rPr>
          <w:rFonts w:hint="eastAsia" w:ascii="仿宋_GB2312" w:hAnsi="仿宋_GB2312" w:eastAsia="仿宋_GB2312" w:cs="仿宋_GB2312"/>
          <w:b w:val="0"/>
          <w:bCs w:val="0"/>
          <w:sz w:val="32"/>
          <w:szCs w:val="32"/>
        </w:rPr>
        <w:t>持续发挥全过程创新生态链紧密相连、相互促进的整体效应</w:t>
      </w:r>
      <w:r>
        <w:rPr>
          <w:rFonts w:hint="eastAsia" w:ascii="仿宋_GB2312" w:hAnsi="仿宋_GB2312" w:eastAsia="仿宋_GB2312" w:cs="仿宋_GB2312"/>
          <w:b w:val="0"/>
          <w:bCs w:val="0"/>
          <w:sz w:val="32"/>
          <w:szCs w:val="32"/>
          <w:lang w:eastAsia="zh-CN"/>
        </w:rPr>
        <w:t>，在梳理分析国内外主要科技统计指标体系的基础上，结合深圳科技创新发展实际，建立一套具有科学性、综合性、可比性、可操作性的科技统计指标体系，全面、客观、科学评价深圳科技创新综合实力及全过程创新生态链各环节发展状况，为提高科技创新管理效能提供决策支撑，形成《构建</w:t>
      </w:r>
      <w:r>
        <w:rPr>
          <w:rFonts w:hint="eastAsia" w:ascii="仿宋_GB2312" w:hAnsi="仿宋_GB2312" w:eastAsia="仿宋_GB2312" w:cs="仿宋_GB2312"/>
          <w:b w:val="0"/>
          <w:bCs w:val="0"/>
          <w:color w:val="000000"/>
          <w:kern w:val="0"/>
          <w:sz w:val="32"/>
          <w:szCs w:val="32"/>
          <w:lang w:val="en-US" w:eastAsia="zh-CN" w:bidi="ar-SA"/>
        </w:rPr>
        <w:t>全过程创新生态链的统计分析体系策略研究报告</w:t>
      </w:r>
      <w:r>
        <w:rPr>
          <w:rFonts w:hint="eastAsia" w:ascii="仿宋_GB2312" w:hAnsi="仿宋_GB2312" w:eastAsia="仿宋_GB2312" w:cs="仿宋_GB2312"/>
          <w:b w:val="0"/>
          <w:bCs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资助金额：</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0万元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.项目名称：</w:t>
      </w:r>
      <w:r>
        <w:rPr>
          <w:rFonts w:hint="default" w:ascii="仿宋_GB2312" w:hAnsi="仿宋_GB2312" w:eastAsia="仿宋_GB2312" w:cs="仿宋_GB2312"/>
          <w:b w:val="0"/>
          <w:bCs w:val="0"/>
          <w:sz w:val="32"/>
          <w:szCs w:val="32"/>
          <w:lang w:val="en-US" w:eastAsia="zh-CN"/>
        </w:rPr>
        <w:t>深圳迈向全球标杆城市策略研究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研究内容：</w:t>
      </w:r>
      <w:r>
        <w:rPr>
          <w:rFonts w:hint="default" w:ascii="仿宋_GB2312" w:hAnsi="仿宋_GB2312" w:eastAsia="仿宋_GB2312" w:cs="仿宋_GB2312"/>
          <w:b w:val="0"/>
          <w:bCs w:val="0"/>
          <w:sz w:val="32"/>
          <w:szCs w:val="32"/>
          <w:lang w:val="en-US" w:eastAsia="zh-CN"/>
        </w:rPr>
        <w:t>深圳市科技创新“十四五”规划提出，到2025年深圳要建成现代化国际化创新型城市，成为粤港澳大湾区国际科技创新中心的重要引擎。通过梳理世界先进城市创新发展经验，定量比较分析深圳建设现代化国际化创新型城市面临的挑战与差距，提出深圳建成现代化国际化创新型城市的相关建议，形成《深圳迈向全球标杆城市策略研究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资助金额：</w:t>
      </w:r>
      <w:r>
        <w:rPr>
          <w:rFonts w:hint="default" w:ascii="仿宋_GB2312" w:hAnsi="仿宋_GB2312" w:eastAsia="仿宋_GB2312" w:cs="仿宋_GB2312"/>
          <w:b w:val="0"/>
          <w:bCs w:val="0"/>
          <w:sz w:val="32"/>
          <w:szCs w:val="32"/>
          <w:lang w:val="en" w:eastAsia="zh-CN"/>
        </w:rPr>
        <w:t>30</w:t>
      </w:r>
      <w:r>
        <w:rPr>
          <w:rFonts w:hint="eastAsia" w:ascii="仿宋_GB2312" w:hAnsi="仿宋_GB2312" w:eastAsia="仿宋_GB2312" w:cs="仿宋_GB2312"/>
          <w:b w:val="0"/>
          <w:bCs w:val="0"/>
          <w:sz w:val="32"/>
          <w:szCs w:val="32"/>
          <w:lang w:val="en-US" w:eastAsia="zh-CN"/>
        </w:rPr>
        <w:t>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项目名称：深圳市科技服务业发展现状及对策研究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科技服务业是现代服务业的重要组成部分，具有人才智力密集、科技含量高、产业附加值大、辐射带动作用强等特点。通过对深圳科技服务业整体情况以及研究开发、技术转移、检验检测、创业孵化、知识产权、科技咨询、科技金融等具体领域发展情况开展调研统计分析，提出大力发展深圳科技服务业的对策建议，形成《深圳高质量发展科技服务业的策略研究报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w:t>
      </w:r>
      <w:r>
        <w:rPr>
          <w:rFonts w:hint="default"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lang w:val="en-US" w:eastAsia="zh-CN"/>
        </w:rPr>
        <w:t>万元。</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.项目名称：构建产业中试平台策略研究</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深圳市科技创新“十四五”规划提出，要构建全链条孵化育成体系，完善概念验证中心建设与运营机制，布局一批以企业为主体的中小试转化基地。深入分析中试要素优化组合方向，系统调研深圳科技创新中试平台运营情况及存在问题，探索“政府主导+企业主体+市场化运作”的产业中试平台建设发展模式，完善“空间载体+场景资源”的中试熟化成果验证体系，积极构建“科技成果验证-资本衔接孵化-企业（产业）商业化”的全链条支持模式，形成《深圳构建产业中试平台的研究报告》。</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资助金额：30万元。</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color w:val="000000"/>
          <w:kern w:val="0"/>
          <w:sz w:val="32"/>
          <w:szCs w:val="32"/>
          <w:lang w:val="en-US" w:eastAsia="zh-CN" w:bidi="ar-SA"/>
        </w:rPr>
        <w:t>金融支持创新体系的路径及策略研究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sz w:val="32"/>
          <w:szCs w:val="32"/>
        </w:rPr>
        <w:t>研究内容：中央全面深化改革委员会第二十五次会议强调</w:t>
      </w:r>
      <w:r>
        <w:rPr>
          <w:rFonts w:hint="eastAsia" w:ascii="仿宋_GB2312" w:hAnsi="仿宋_GB2312" w:eastAsia="仿宋_GB2312" w:cs="仿宋_GB2312"/>
          <w:b w:val="0"/>
          <w:bCs w:val="0"/>
          <w:sz w:val="32"/>
          <w:szCs w:val="32"/>
          <w:lang w:eastAsia="zh-CN"/>
        </w:rPr>
        <w:t>，要加快推进金融支持创新体系建设。</w:t>
      </w:r>
      <w:r>
        <w:rPr>
          <w:rFonts w:hint="eastAsia" w:ascii="仿宋_GB2312" w:hAnsi="仿宋_GB2312" w:eastAsia="仿宋_GB2312" w:cs="仿宋_GB2312"/>
          <w:b w:val="0"/>
          <w:bCs w:val="0"/>
          <w:color w:val="auto"/>
          <w:kern w:val="2"/>
          <w:sz w:val="32"/>
          <w:szCs w:val="32"/>
          <w:lang w:val="en-US" w:eastAsia="zh-CN" w:bidi="ar-SA"/>
        </w:rPr>
        <w:t>学习借鉴国内外金融助力科技创新的路径和经验做法，聚焦关键核心技术攻关、科技成果转化、科技型和创新型中小企业、高新技术企业等重点领域，从科技信贷、科技保险、技术和资本市场对接、创新金融产品服务等方面，提出金融支持科技创新的政策举措，推动更多金融资源投早投小投科技，</w:t>
      </w:r>
      <w:r>
        <w:rPr>
          <w:rFonts w:hint="eastAsia" w:ascii="仿宋_GB2312" w:hAnsi="仿宋_GB2312" w:eastAsia="仿宋_GB2312" w:cs="仿宋_GB2312"/>
          <w:b w:val="0"/>
          <w:bCs w:val="0"/>
          <w:sz w:val="32"/>
          <w:szCs w:val="32"/>
          <w:lang w:eastAsia="zh-CN"/>
        </w:rPr>
        <w:t>打造科技金融深度融合地，</w:t>
      </w:r>
      <w:r>
        <w:rPr>
          <w:rFonts w:hint="eastAsia" w:ascii="仿宋_GB2312" w:hAnsi="仿宋_GB2312" w:eastAsia="仿宋_GB2312" w:cs="仿宋_GB2312"/>
          <w:b w:val="0"/>
          <w:bCs w:val="0"/>
          <w:color w:val="auto"/>
          <w:kern w:val="2"/>
          <w:sz w:val="32"/>
          <w:szCs w:val="32"/>
          <w:lang w:val="en-US" w:eastAsia="zh-CN" w:bidi="ar-SA"/>
        </w:rPr>
        <w:t>形成《</w:t>
      </w:r>
      <w:r>
        <w:rPr>
          <w:rFonts w:hint="eastAsia" w:ascii="仿宋_GB2312" w:hAnsi="仿宋_GB2312" w:eastAsia="仿宋_GB2312" w:cs="仿宋_GB2312"/>
          <w:b w:val="0"/>
          <w:bCs w:val="0"/>
          <w:color w:val="000000"/>
          <w:kern w:val="0"/>
          <w:sz w:val="32"/>
          <w:szCs w:val="32"/>
          <w:lang w:val="en-US" w:eastAsia="zh-CN" w:bidi="ar-SA"/>
        </w:rPr>
        <w:t>金融支持创新体系的路径及策略研究报告</w:t>
      </w:r>
      <w:r>
        <w:rPr>
          <w:rFonts w:hint="eastAsia" w:ascii="仿宋_GB2312" w:hAnsi="仿宋_GB2312"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资助金额：</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0万元</w:t>
      </w:r>
      <w:r>
        <w:rPr>
          <w:rFonts w:hint="eastAsia" w:ascii="仿宋_GB2312" w:hAnsi="仿宋_GB2312" w:eastAsia="仿宋_GB2312" w:cs="仿宋_GB2312"/>
          <w:b w:val="0"/>
          <w:bCs w:val="0"/>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52180"/>
    <w:rsid w:val="12763C94"/>
    <w:rsid w:val="13DE3658"/>
    <w:rsid w:val="1558785A"/>
    <w:rsid w:val="1887148B"/>
    <w:rsid w:val="3BCC3FD0"/>
    <w:rsid w:val="675748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50" w:beforeLines="50" w:after="50" w:afterLines="50" w:line="520" w:lineRule="exact"/>
      <w:ind w:firstLine="200" w:firstLineChars="200"/>
      <w:jc w:val="both"/>
      <w:outlineLvl w:val="0"/>
    </w:pPr>
    <w:rPr>
      <w:rFonts w:eastAsia="黑体" w:asciiTheme="minorHAnsi" w:hAnsiTheme="minorHAnsi" w:cstheme="minorBidi"/>
      <w:b/>
      <w:bCs/>
      <w:kern w:val="44"/>
      <w:sz w:val="32"/>
      <w:szCs w:val="44"/>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楷体_GB2312" w:eastAsia="Times New Roman" w:cs="Times New Roman"/>
      <w:color w:val="000000"/>
      <w:sz w:val="24"/>
      <w:szCs w:val="22"/>
      <w:lang w:val="en-US" w:eastAsia="zh-CN" w:bidi="ar-SA"/>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footer"/>
    <w:basedOn w:val="1"/>
    <w:qFormat/>
    <w:uiPriority w:val="0"/>
    <w:pPr>
      <w:tabs>
        <w:tab w:val="center" w:pos="4153"/>
        <w:tab w:val="right" w:pos="8306"/>
      </w:tabs>
      <w:snapToGrid w:val="0"/>
      <w:jc w:val="left"/>
    </w:pPr>
    <w:rPr>
      <w:rFonts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paragraph" w:customStyle="1" w:styleId="13">
    <w:name w:val="p0"/>
    <w:basedOn w:val="1"/>
    <w:qFormat/>
    <w:uiPriority w:val="0"/>
    <w:pPr>
      <w:widowControl/>
    </w:pPr>
    <w:rPr>
      <w:rFonts w:ascii="Times New Roman" w:hAnsi="Times New Roman" w:cs="Times New Roman"/>
      <w:kern w:val="0"/>
    </w:rPr>
  </w:style>
  <w:style w:type="paragraph" w:customStyle="1" w:styleId="14">
    <w:name w:val="gei正文"/>
    <w:basedOn w:val="1"/>
    <w:qFormat/>
    <w:uiPriority w:val="0"/>
    <w:pPr>
      <w:spacing w:before="30" w:beforeLines="30" w:after="30" w:afterLines="30" w:line="560" w:lineRule="exact"/>
      <w:ind w:firstLine="200" w:firstLineChars="200"/>
      <w:jc w:val="both"/>
    </w:pPr>
    <w:rPr>
      <w:rFonts w:ascii="仿宋_GB2312" w:eastAsia="仿宋_GB2312"/>
      <w:kern w:val="2"/>
      <w:sz w:val="32"/>
      <w:szCs w:val="28"/>
    </w:rPr>
  </w:style>
  <w:style w:type="paragraph" w:customStyle="1" w:styleId="15">
    <w:name w:val="_Style 5"/>
    <w:basedOn w:val="1"/>
    <w:qFormat/>
    <w:uiPriority w:val="0"/>
    <w:pPr>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yanwj</cp:lastModifiedBy>
  <dcterms:modified xsi:type="dcterms:W3CDTF">2022-06-23T02:36:28Z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97C56AD500E843EC87D0CC68C6384847</vt:lpwstr>
  </property>
</Properties>
</file>