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</w:p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1BF7240C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3AEF6517"/>
    <w:rsid w:val="418F0BB0"/>
    <w:rsid w:val="41B23C27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C204A62"/>
    <w:rsid w:val="67DE50B6"/>
    <w:rsid w:val="67EC2927"/>
    <w:rsid w:val="68640D44"/>
    <w:rsid w:val="6D9350D5"/>
    <w:rsid w:val="72AA387E"/>
    <w:rsid w:val="78156BAC"/>
    <w:rsid w:val="7A564524"/>
    <w:rsid w:val="7B7C75D0"/>
    <w:rsid w:val="7EBD32DC"/>
    <w:rsid w:val="7EC97F5B"/>
    <w:rsid w:val="7ED901B7"/>
    <w:rsid w:val="FF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2018-08-20T15:55:00Z</dcterms:created>
  <dc:creator>Administrator</dc:creator>
  <cp:lastModifiedBy>郭美岑</cp:lastModifiedBy>
  <cp:lastPrinted>2017-08-14T11:13:00Z</cp:lastPrinted>
  <dcterms:modified xsi:type="dcterms:W3CDTF">2022-11-10T10:52:53Z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F96BC42606F543F2A535480AC8A629C4</vt:lpwstr>
  </property>
</Properties>
</file>