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/>
          <w:color w:val="auto"/>
          <w:sz w:val="28"/>
          <w:szCs w:val="2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2"/>
          <w:highlight w:val="none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  <w:t>2023年中央外经贸发展专项资金（应对贸易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u w:val="none"/>
          <w:lang w:val="en-US" w:eastAsia="zh-CN"/>
        </w:rPr>
        <w:t>摩擦事项）申报指南说明</w:t>
      </w:r>
    </w:p>
    <w:p>
      <w:pP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spacing w:line="560" w:lineRule="exact"/>
        <w:rPr>
          <w:rFonts w:hint="eastAsia" w:ascii="仿宋_GB2312" w:hAnsi="仿宋_GB2312" w:eastAsia="仿宋_GB2312"/>
          <w:b w:val="0"/>
          <w:bCs/>
          <w:color w:val="auto"/>
          <w:sz w:val="32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u w:val="none"/>
          <w:lang w:val="en-US" w:eastAsia="zh-CN"/>
        </w:rPr>
        <w:t xml:space="preserve">    1.“两反一保”案件胜诉一般指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申请人撤诉、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“0”</w:t>
      </w:r>
      <w:r>
        <w:rPr>
          <w:rFonts w:hint="eastAsia" w:ascii="仿宋_GB2312" w:hAnsi="仿宋_GB2312" w:eastAsia="仿宋_GB2312" w:cs="仿宋_GB2312"/>
          <w:sz w:val="32"/>
          <w:szCs w:val="32"/>
        </w:rPr>
        <w:t>税率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最低税率，不包括价格承诺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。胜诉需提供“中国贸易救济信息网”或</w:t>
      </w: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44"/>
          <w:u w:val="none"/>
          <w:lang w:val="en-US" w:eastAsia="zh-CN"/>
        </w:rPr>
        <w:t>立案国立案机构官方途径可查询的案件通报网页截图（标识了企业名称）作为佐证材料。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rPr>
          <w:rFonts w:hint="eastAsia" w:ascii="仿宋_GB2312" w:hAnsi="仿宋_GB2312" w:eastAsia="仿宋_GB2312"/>
          <w:b w:val="0"/>
          <w:bCs w:val="0"/>
          <w:color w:val="auto"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对外贸易有关的知识产权争端应对胜诉一般包括终裁的</w:t>
      </w:r>
      <w:r>
        <w:rPr>
          <w:rFonts w:hint="eastAsia" w:ascii="仿宋_GB2312" w:hAnsi="仿宋_GB2312" w:eastAsia="仿宋_GB2312" w:cs="Times New Roman"/>
          <w:color w:val="auto"/>
          <w:sz w:val="32"/>
          <w:szCs w:val="24"/>
          <w:highlight w:val="none"/>
        </w:rPr>
        <w:t>申请人撤诉、专利无效、专利不侵权，不包括和解。</w:t>
      </w:r>
      <w:r>
        <w:rPr>
          <w:rFonts w:hint="eastAsia" w:ascii="仿宋_GB2312" w:hAnsi="仿宋_GB2312" w:eastAsia="仿宋_GB2312" w:cs="Times New Roman"/>
          <w:color w:val="auto"/>
          <w:sz w:val="32"/>
          <w:szCs w:val="24"/>
          <w:highlight w:val="none"/>
          <w:lang w:eastAsia="zh-CN"/>
        </w:rPr>
        <w:t>胜诉需提供“中国贸易救济信息网”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24"/>
          <w:highlight w:val="none"/>
          <w:u w:val="none"/>
          <w:lang w:val="en-US" w:eastAsia="zh-CN"/>
        </w:rPr>
        <w:t>网页截图（标识了企业名称）作为佐证材料。</w:t>
      </w:r>
    </w:p>
    <w:p>
      <w:pPr>
        <w:numPr>
          <w:ilvl w:val="0"/>
          <w:numId w:val="0"/>
        </w:numPr>
        <w:spacing w:line="560" w:lineRule="exact"/>
        <w:ind w:firstLine="640" w:firstLineChars="0"/>
        <w:rPr>
          <w:rFonts w:hint="eastAsia" w:ascii="仿宋_GB2312" w:hAnsi="仿宋_GB2312" w:eastAsia="仿宋_GB2312"/>
          <w:color w:val="FF000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24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en-US" w:eastAsia="zh-CN"/>
        </w:rPr>
        <w:t>同一案件多次复审的，每参与一次复审且符合申报条件的，可申请入库。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color w:val="auto"/>
          <w:sz w:val="32"/>
          <w:szCs w:val="44"/>
          <w:u w:val="none"/>
          <w:lang w:val="en-US" w:eastAsia="zh-CN"/>
        </w:rPr>
        <w:t>4.类别指申报指南第三项所列的五种类型。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同一类别的研究报告，所涉案件符合条件发生金额超过市级同类资金支持金额的，可申请入库，反之则不符合入库条件。通过评审的此类项目，支持标准不超过相应类别的最高支持标准，且以符合条件的发生金额与市级支持金额之间的差额为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/>
          <w:color w:val="auto"/>
          <w:sz w:val="32"/>
          <w:u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直接使用外币支付的，按照中国人民银行公布的2022年12月31日人民币汇率中间价折算；通过银行购汇支付的，直接按购买人民币金额计算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名称发生变更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案件应诉和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不同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名称的工商登记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等佐证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2"/>
          <w:highlight w:val="none"/>
          <w:u w:val="none"/>
          <w:lang w:val="en-US" w:eastAsia="zh-CN"/>
        </w:rPr>
        <w:t>.到国外法院起诉的相关案件，不属于本次入库项目支持范围。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字数少于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3000字，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涉嫌抄袭、剽窃或存在其他弄虚作假的行为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，不予支持。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BD2C2B-8022-4DF5-9F0E-D51884965DF3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4AF7E61-7ED3-4FE4-BE2B-41B7812428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A957A5-841D-42F1-A38A-A927785623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64C23050"/>
    <w:rsid w:val="64C23050"/>
    <w:rsid w:val="6B57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566</Characters>
  <Lines>0</Lines>
  <Paragraphs>0</Paragraphs>
  <TotalTime>1</TotalTime>
  <ScaleCrop>false</ScaleCrop>
  <LinksUpToDate>false</LinksUpToDate>
  <CharactersWithSpaces>570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2023-01-28T06:49:00Z</dcterms:created>
  <dc:creator>陈晓凤</dc:creator>
  <cp:lastModifiedBy>陈晓凤</cp:lastModifiedBy>
  <dcterms:modified xsi:type="dcterms:W3CDTF">2023-01-28T07:17:34Z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9A256CEFBEEE432B93ECA5712A475729</vt:lpwstr>
  </property>
</Properties>
</file>