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6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42"/>
        <w:gridCol w:w="678"/>
        <w:gridCol w:w="1168"/>
        <w:gridCol w:w="753"/>
        <w:gridCol w:w="1272"/>
        <w:gridCol w:w="1026"/>
        <w:gridCol w:w="1075"/>
        <w:gridCol w:w="9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8648" w:type="dxa"/>
            <w:gridSpan w:val="9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小标宋简体" w:hAnsi="宋体" w:eastAsia="方正小标宋简体"/>
                <w:color w:val="000000"/>
                <w:sz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/>
                <w:color w:val="000000"/>
                <w:sz w:val="44"/>
                <w:szCs w:val="44"/>
              </w:rPr>
              <w:t>二级项目绩效目标申报表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预期产出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产出计划</w:t>
            </w:r>
          </w:p>
        </w:tc>
        <w:tc>
          <w:tcPr>
            <w:tcW w:w="18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预期提供的公共产品或服务的数量及质量</w:t>
            </w:r>
          </w:p>
        </w:tc>
        <w:tc>
          <w:tcPr>
            <w:tcW w:w="4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总目标：（填列总产出及质量、成本等内容）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（论证材料及相关依据）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4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年度阶段性目标：（填列年度产出及质量、成本等内容）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 xml:space="preserve">效率计划 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项目实施进度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项目实施内容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开始时间</w:t>
            </w:r>
          </w:p>
        </w:tc>
        <w:tc>
          <w:tcPr>
            <w:tcW w:w="2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完成时间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（论证材料及相关依据）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1.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2.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……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预期效果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预期社会经济效益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指标类别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个性化指标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上年度实际水平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本年度计划完成水平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指标解释及计算公式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说明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（论证材料及相关依据）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社会效益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反映项目实施直接产生的社会、经济、生态效益等，根据项目属性特点，可选择其中一或多项效益，研究设置个性化指标及其目标值。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……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经济效益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……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生态效益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……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4600038C"/>
    <w:rsid w:val="02DF4D98"/>
    <w:rsid w:val="30C32657"/>
    <w:rsid w:val="43825F78"/>
    <w:rsid w:val="4600038C"/>
    <w:rsid w:val="501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2023-02-14T00:59:00Z</dcterms:created>
  <dc:creator>芬达不爱可乐</dc:creator>
  <cp:lastModifiedBy>芬达不爱可乐</cp:lastModifiedBy>
  <dcterms:modified xsi:type="dcterms:W3CDTF">2023-02-14T00:59:38Z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B0660F3D19CB43AA91269C7BD35EF147</vt:lpwstr>
  </property>
</Properties>
</file>