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60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 xml:space="preserve">附件1-4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首台（套）重大技术装备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eastAsia="zh-CN"/>
        </w:rPr>
        <w:t>研制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与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eastAsia="zh-CN"/>
        </w:rPr>
        <w:t>推广应用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二级项目绩效目标申报表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13"/>
        <w:gridCol w:w="797"/>
        <w:gridCol w:w="1187"/>
        <w:gridCol w:w="739"/>
        <w:gridCol w:w="421"/>
        <w:gridCol w:w="908"/>
        <w:gridCol w:w="342"/>
        <w:gridCol w:w="939"/>
        <w:gridCol w:w="118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产出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计划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总目标</w:t>
            </w:r>
          </w:p>
        </w:tc>
        <w:tc>
          <w:tcPr>
            <w:tcW w:w="57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反映项目总产出及质量、成本等内容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项目实施进度计划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1、项目立项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2、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3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个性化指标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计划完成水平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实际完成水平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实际完成时间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论证材料及相关依据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产出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指标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获得国家发明专利授权数量（项）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装备产品技术水平（国际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/国内/省内领先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效益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指标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首台（套）装备产品实现销售额（万元）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5327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2023-02-15T03:49:43Z</dcterms:created>
  <dc:creator>Administrator</dc:creator>
  <cp:lastModifiedBy>Administrator</cp:lastModifiedBy>
  <dcterms:modified xsi:type="dcterms:W3CDTF">2023-02-15T03:49:48Z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5A14574210AC426EB9A919A850258CF1</vt:lpwstr>
  </property>
</Properties>
</file>