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附件2</w:t>
      </w:r>
    </w:p>
    <w:p>
      <w:pPr>
        <w:adjustRightInd w:val="0"/>
        <w:snapToGrid w:val="0"/>
        <w:rPr>
          <w:rFonts w:ascii="方正仿宋简体" w:hAnsi="华文中宋" w:eastAsia="方正仿宋简体"/>
          <w:spacing w:val="0"/>
          <w:sz w:val="36"/>
          <w:szCs w:val="36"/>
          <w:u w:val="single"/>
        </w:rPr>
      </w:pPr>
      <w:r>
        <w:rPr>
          <w:rFonts w:hint="eastAsia" w:ascii="方正仿宋简体" w:hAnsi="宋体" w:eastAsia="方正仿宋简体"/>
          <w:spacing w:val="0"/>
          <w:sz w:val="30"/>
        </w:rPr>
        <w:t xml:space="preserve">                                       </w:t>
      </w:r>
      <w:r>
        <w:rPr>
          <w:rFonts w:hint="eastAsia" w:ascii="方正仿宋简体" w:hAnsi="华文中宋" w:eastAsia="方正仿宋简体"/>
          <w:spacing w:val="0"/>
          <w:sz w:val="36"/>
          <w:szCs w:val="36"/>
        </w:rPr>
        <w:t xml:space="preserve">   </w:t>
      </w:r>
      <w:r>
        <w:rPr>
          <w:rFonts w:hint="eastAsia" w:ascii="仿宋_GB2312" w:hAnsi="仿宋_GB2312" w:eastAsia="仿宋_GB2312" w:cs="仿宋_GB2312"/>
          <w:spacing w:val="0"/>
          <w:sz w:val="36"/>
          <w:szCs w:val="36"/>
        </w:rPr>
        <w:t>编号</w:t>
      </w:r>
      <w:r>
        <w:rPr>
          <w:rFonts w:hint="eastAsia" w:ascii="方正仿宋简体" w:hAnsi="华文中宋" w:eastAsia="方正仿宋简体"/>
          <w:spacing w:val="0"/>
          <w:sz w:val="36"/>
          <w:szCs w:val="36"/>
          <w:u w:val="single"/>
        </w:rPr>
        <w:t xml:space="preserve">          </w:t>
      </w:r>
    </w:p>
    <w:p>
      <w:pPr>
        <w:adjustRightInd w:val="0"/>
        <w:snapToGrid w:val="0"/>
        <w:rPr>
          <w:rFonts w:ascii="方正仿宋简体" w:hAnsi="宋体" w:eastAsia="方正仿宋简体"/>
          <w:spacing w:val="0"/>
        </w:rPr>
      </w:pPr>
    </w:p>
    <w:p>
      <w:pPr>
        <w:pStyle w:val="2"/>
      </w:pPr>
    </w:p>
    <w:p>
      <w:pPr>
        <w:pStyle w:val="2"/>
        <w:rPr>
          <w:rFonts w:ascii="Times New Roman" w:hAnsi="Times New Roman" w:eastAsia="宋体" w:cs="Times New Roman"/>
        </w:rPr>
      </w:pPr>
    </w:p>
    <w:p>
      <w:pPr>
        <w:adjustRightInd w:val="0"/>
        <w:snapToGrid w:val="0"/>
        <w:spacing w:line="360" w:lineRule="auto"/>
        <w:jc w:val="center"/>
        <w:outlineLvl w:val="0"/>
        <w:rPr>
          <w:rStyle w:val="9"/>
          <w:rFonts w:ascii="方正小标宋简体" w:hAnsi="方正小标宋简体" w:eastAsia="方正小标宋简体" w:cs="方正小标宋简体"/>
          <w:color w:val="444444"/>
          <w:spacing w:val="0"/>
          <w:sz w:val="52"/>
          <w:szCs w:val="52"/>
          <w:u w:val="none"/>
        </w:rPr>
      </w:pPr>
      <w:bookmarkStart w:id="0" w:name="_GoBack"/>
      <w:r>
        <w:rPr>
          <w:rStyle w:val="9"/>
          <w:rFonts w:ascii="方正小标宋简体" w:hAnsi="方正小标宋简体" w:eastAsia="方正小标宋简体" w:cs="方正小标宋简体"/>
          <w:color w:val="444444"/>
          <w:spacing w:val="0"/>
          <w:sz w:val="52"/>
          <w:szCs w:val="52"/>
          <w:u w:val="none"/>
        </w:rPr>
        <w:t>国家循环经济标准化试点</w:t>
      </w:r>
    </w:p>
    <w:p>
      <w:pPr>
        <w:adjustRightInd w:val="0"/>
        <w:snapToGrid w:val="0"/>
        <w:spacing w:line="360" w:lineRule="auto"/>
        <w:jc w:val="center"/>
        <w:outlineLvl w:val="0"/>
        <w:rPr>
          <w:rStyle w:val="9"/>
          <w:rFonts w:ascii="方正小标宋简体" w:hAnsi="方正小标宋简体" w:eastAsia="方正小标宋简体" w:cs="方正小标宋简体"/>
          <w:color w:val="444444"/>
          <w:spacing w:val="0"/>
          <w:sz w:val="52"/>
          <w:szCs w:val="52"/>
          <w:u w:val="none"/>
        </w:rPr>
      </w:pPr>
      <w:r>
        <w:rPr>
          <w:rStyle w:val="9"/>
          <w:rFonts w:ascii="方正小标宋简体" w:hAnsi="方正小标宋简体" w:eastAsia="方正小标宋简体" w:cs="方正小标宋简体"/>
          <w:color w:val="444444"/>
          <w:spacing w:val="0"/>
          <w:sz w:val="52"/>
          <w:szCs w:val="52"/>
          <w:u w:val="none"/>
        </w:rPr>
        <w:t>项目实施方案</w:t>
      </w:r>
    </w:p>
    <w:bookmarkEnd w:id="0"/>
    <w:p>
      <w:pPr>
        <w:adjustRightInd w:val="0"/>
        <w:snapToGrid w:val="0"/>
        <w:rPr>
          <w:rFonts w:ascii="方正仿宋简体" w:hAnsi="宋体" w:eastAsia="方正仿宋简体"/>
          <w:b/>
          <w:spacing w:val="0"/>
          <w:sz w:val="72"/>
        </w:rPr>
      </w:pPr>
    </w:p>
    <w:p>
      <w:pPr>
        <w:adjustRightInd w:val="0"/>
        <w:snapToGrid w:val="0"/>
        <w:rPr>
          <w:rFonts w:ascii="方正仿宋简体" w:hAnsi="宋体" w:eastAsia="方正仿宋简体"/>
          <w:b/>
          <w:spacing w:val="0"/>
          <w:sz w:val="72"/>
        </w:rPr>
      </w:pPr>
    </w:p>
    <w:p>
      <w:pPr>
        <w:adjustRightInd w:val="0"/>
        <w:snapToGrid w:val="0"/>
        <w:spacing w:line="360" w:lineRule="auto"/>
        <w:ind w:firstLine="846" w:firstLineChars="200"/>
        <w:rPr>
          <w:rFonts w:hint="eastAsia" w:ascii="仿宋_GB2312" w:hAnsi="仿宋_GB2312" w:eastAsia="仿宋_GB2312" w:cs="仿宋_GB2312"/>
          <w:spacing w:val="0"/>
          <w:sz w:val="44"/>
          <w:szCs w:val="44"/>
        </w:rPr>
      </w:pPr>
      <w:r>
        <w:rPr>
          <w:rFonts w:hint="eastAsia" w:ascii="仿宋_GB2312" w:hAnsi="仿宋_GB2312" w:eastAsia="仿宋_GB2312" w:cs="仿宋_GB2312"/>
          <w:spacing w:val="0"/>
          <w:sz w:val="44"/>
          <w:szCs w:val="44"/>
        </w:rPr>
        <w:t>试点名称：</w:t>
      </w:r>
      <w:r>
        <w:rPr>
          <w:rFonts w:hint="eastAsia" w:ascii="仿宋_GB2312" w:hAnsi="仿宋_GB2312" w:eastAsia="仿宋_GB2312" w:cs="仿宋_GB2312"/>
          <w:spacing w:val="0"/>
          <w:sz w:val="44"/>
          <w:szCs w:val="44"/>
          <w:u w:val="single"/>
        </w:rPr>
        <w:t xml:space="preserve">                          </w:t>
      </w:r>
    </w:p>
    <w:p>
      <w:pPr>
        <w:adjustRightInd w:val="0"/>
        <w:snapToGrid w:val="0"/>
        <w:spacing w:line="360" w:lineRule="auto"/>
        <w:ind w:firstLine="846" w:firstLineChars="200"/>
        <w:rPr>
          <w:rFonts w:hint="eastAsia" w:ascii="仿宋_GB2312" w:hAnsi="仿宋_GB2312" w:eastAsia="仿宋_GB2312" w:cs="仿宋_GB2312"/>
          <w:spacing w:val="0"/>
          <w:sz w:val="44"/>
          <w:szCs w:val="44"/>
        </w:rPr>
      </w:pPr>
      <w:r>
        <w:rPr>
          <w:rFonts w:hint="eastAsia" w:ascii="仿宋_GB2312" w:hAnsi="仿宋_GB2312" w:eastAsia="仿宋_GB2312" w:cs="仿宋_GB2312"/>
          <w:spacing w:val="0"/>
          <w:sz w:val="44"/>
          <w:szCs w:val="44"/>
        </w:rPr>
        <w:t>申报单位：</w:t>
      </w:r>
      <w:r>
        <w:rPr>
          <w:rFonts w:hint="eastAsia" w:ascii="仿宋_GB2312" w:hAnsi="仿宋_GB2312" w:eastAsia="仿宋_GB2312" w:cs="仿宋_GB2312"/>
          <w:spacing w:val="0"/>
          <w:sz w:val="44"/>
          <w:szCs w:val="44"/>
          <w:u w:val="single"/>
        </w:rPr>
        <w:t xml:space="preserve">                          </w:t>
      </w:r>
    </w:p>
    <w:p>
      <w:pPr>
        <w:adjustRightInd w:val="0"/>
        <w:snapToGrid w:val="0"/>
        <w:spacing w:line="360" w:lineRule="auto"/>
        <w:ind w:firstLine="846" w:firstLineChars="200"/>
        <w:rPr>
          <w:rFonts w:hint="eastAsia" w:ascii="仿宋_GB2312" w:hAnsi="仿宋_GB2312" w:eastAsia="仿宋_GB2312" w:cs="仿宋_GB2312"/>
          <w:spacing w:val="0"/>
          <w:sz w:val="44"/>
          <w:szCs w:val="44"/>
        </w:rPr>
      </w:pPr>
      <w:r>
        <w:rPr>
          <w:rFonts w:hint="eastAsia" w:ascii="仿宋_GB2312" w:hAnsi="仿宋_GB2312" w:eastAsia="仿宋_GB2312" w:cs="仿宋_GB2312"/>
          <w:spacing w:val="0"/>
          <w:sz w:val="44"/>
          <w:szCs w:val="44"/>
        </w:rPr>
        <w:t>推荐单位：</w:t>
      </w:r>
      <w:r>
        <w:rPr>
          <w:rFonts w:hint="eastAsia" w:ascii="仿宋_GB2312" w:hAnsi="仿宋_GB2312" w:eastAsia="仿宋_GB2312" w:cs="仿宋_GB2312"/>
          <w:spacing w:val="0"/>
          <w:sz w:val="44"/>
          <w:szCs w:val="44"/>
          <w:u w:val="single"/>
        </w:rPr>
        <w:t xml:space="preserve">                          </w:t>
      </w:r>
    </w:p>
    <w:p>
      <w:pPr>
        <w:adjustRightInd w:val="0"/>
        <w:snapToGrid w:val="0"/>
        <w:spacing w:line="360" w:lineRule="auto"/>
        <w:ind w:firstLine="846" w:firstLineChars="200"/>
        <w:rPr>
          <w:rFonts w:hint="eastAsia" w:ascii="仿宋_GB2312" w:hAnsi="仿宋_GB2312" w:eastAsia="仿宋_GB2312" w:cs="仿宋_GB2312"/>
          <w:spacing w:val="0"/>
          <w:sz w:val="44"/>
          <w:szCs w:val="44"/>
        </w:rPr>
      </w:pPr>
      <w:r>
        <w:rPr>
          <w:rFonts w:hint="eastAsia" w:ascii="仿宋_GB2312" w:hAnsi="仿宋_GB2312" w:eastAsia="仿宋_GB2312" w:cs="仿宋_GB2312"/>
          <w:spacing w:val="0"/>
          <w:sz w:val="44"/>
          <w:szCs w:val="44"/>
        </w:rPr>
        <w:t>实施时间：</w:t>
      </w:r>
      <w:r>
        <w:rPr>
          <w:rFonts w:hint="eastAsia" w:ascii="仿宋_GB2312" w:hAnsi="仿宋_GB2312" w:eastAsia="仿宋_GB2312" w:cs="仿宋_GB2312"/>
          <w:spacing w:val="0"/>
          <w:sz w:val="44"/>
          <w:szCs w:val="44"/>
          <w:u w:val="single"/>
        </w:rPr>
        <w:t xml:space="preserve">                          </w:t>
      </w:r>
    </w:p>
    <w:p>
      <w:pPr>
        <w:adjustRightInd w:val="0"/>
        <w:snapToGrid w:val="0"/>
        <w:rPr>
          <w:rFonts w:ascii="方正仿宋简体" w:hAnsi="宋体" w:eastAsia="方正仿宋简体"/>
          <w:spacing w:val="0"/>
          <w:sz w:val="30"/>
          <w:u w:val="single"/>
        </w:rPr>
      </w:pPr>
    </w:p>
    <w:p>
      <w:pPr>
        <w:adjustRightInd w:val="0"/>
        <w:snapToGrid w:val="0"/>
        <w:rPr>
          <w:rFonts w:ascii="方正仿宋简体" w:hAnsi="宋体" w:eastAsia="方正仿宋简体"/>
          <w:spacing w:val="0"/>
          <w:sz w:val="30"/>
          <w:u w:val="single"/>
        </w:rPr>
      </w:pPr>
    </w:p>
    <w:p>
      <w:pPr>
        <w:adjustRightInd w:val="0"/>
        <w:snapToGrid w:val="0"/>
        <w:jc w:val="center"/>
        <w:rPr>
          <w:rFonts w:ascii="方正仿宋简体" w:hAnsi="宋体" w:eastAsia="方正仿宋简体"/>
          <w:spacing w:val="0"/>
          <w:sz w:val="30"/>
        </w:rPr>
      </w:pPr>
      <w:r>
        <w:rPr>
          <w:rFonts w:hint="eastAsia" w:ascii="方正仿宋简体" w:hAnsi="宋体" w:eastAsia="方正仿宋简体"/>
          <w:spacing w:val="0"/>
          <w:sz w:val="30"/>
        </w:rPr>
        <w:t xml:space="preserve">                </w:t>
      </w:r>
    </w:p>
    <w:p>
      <w:pPr>
        <w:adjustRightInd w:val="0"/>
        <w:snapToGrid w:val="0"/>
        <w:spacing w:line="360" w:lineRule="auto"/>
        <w:jc w:val="center"/>
        <w:rPr>
          <w:rFonts w:hint="eastAsia" w:ascii="仿宋_GB2312" w:hAnsi="仿宋_GB2312" w:eastAsia="仿宋_GB2312" w:cs="仿宋_GB2312"/>
          <w:spacing w:val="0"/>
          <w:sz w:val="44"/>
          <w:szCs w:val="44"/>
        </w:rPr>
      </w:pPr>
      <w:r>
        <w:rPr>
          <w:rFonts w:hint="eastAsia" w:ascii="仿宋_GB2312" w:hAnsi="仿宋_GB2312" w:eastAsia="仿宋_GB2312" w:cs="仿宋_GB2312"/>
          <w:spacing w:val="0"/>
          <w:sz w:val="44"/>
          <w:szCs w:val="44"/>
        </w:rPr>
        <w:t xml:space="preserve">    年     月     日</w:t>
      </w:r>
    </w:p>
    <w:p>
      <w:pPr>
        <w:adjustRightInd w:val="0"/>
        <w:snapToGrid w:val="0"/>
        <w:spacing w:line="360" w:lineRule="auto"/>
        <w:jc w:val="center"/>
        <w:rPr>
          <w:rFonts w:hint="eastAsia" w:ascii="仿宋_GB2312" w:hAnsi="仿宋_GB2312" w:eastAsia="仿宋_GB2312" w:cs="仿宋_GB2312"/>
          <w:spacing w:val="0"/>
          <w:sz w:val="44"/>
          <w:szCs w:val="44"/>
        </w:rPr>
        <w:sectPr>
          <w:footerReference r:id="rId4" w:type="default"/>
          <w:pgSz w:w="11906" w:h="16838"/>
          <w:pgMar w:top="1984" w:right="1474" w:bottom="1644" w:left="1474" w:header="851" w:footer="1361" w:gutter="0"/>
          <w:pgBorders>
            <w:top w:val="none" w:sz="0" w:space="0"/>
            <w:left w:val="none" w:sz="0" w:space="0"/>
            <w:bottom w:val="none" w:sz="0" w:space="0"/>
            <w:right w:val="none" w:sz="0" w:space="0"/>
          </w:pgBorders>
          <w:cols w:space="720" w:num="1"/>
          <w:rtlGutter w:val="0"/>
          <w:docGrid w:type="linesAndChars" w:linePitch="292" w:charSpace="-3633"/>
        </w:sectPr>
      </w:pPr>
    </w:p>
    <w:p>
      <w:pPr>
        <w:keepNext w:val="0"/>
        <w:keepLines w:val="0"/>
        <w:pageBreakBefore w:val="0"/>
        <w:widowControl w:val="0"/>
        <w:kinsoku/>
        <w:wordWrap/>
        <w:overflowPunct/>
        <w:topLinePunct w:val="0"/>
        <w:autoSpaceDE/>
        <w:autoSpaceDN/>
        <w:bidi w:val="0"/>
        <w:adjustRightInd w:val="0"/>
        <w:snapToGrid w:val="0"/>
        <w:spacing w:line="634" w:lineRule="exact"/>
        <w:jc w:val="center"/>
        <w:textAlignment w:val="auto"/>
        <w:rPr>
          <w:rFonts w:hint="eastAsia" w:ascii="黑体" w:hAnsi="黑体" w:eastAsia="黑体" w:cs="黑体"/>
          <w:spacing w:val="0"/>
          <w:sz w:val="44"/>
          <w:szCs w:val="44"/>
        </w:rPr>
      </w:pPr>
    </w:p>
    <w:p>
      <w:pPr>
        <w:keepNext w:val="0"/>
        <w:keepLines w:val="0"/>
        <w:pageBreakBefore w:val="0"/>
        <w:widowControl w:val="0"/>
        <w:kinsoku/>
        <w:wordWrap/>
        <w:overflowPunct/>
        <w:topLinePunct w:val="0"/>
        <w:autoSpaceDE/>
        <w:autoSpaceDN/>
        <w:bidi w:val="0"/>
        <w:adjustRightInd w:val="0"/>
        <w:snapToGrid w:val="0"/>
        <w:spacing w:line="634" w:lineRule="exact"/>
        <w:jc w:val="center"/>
        <w:textAlignment w:val="auto"/>
        <w:rPr>
          <w:rFonts w:hint="eastAsia" w:ascii="黑体" w:hAnsi="黑体" w:eastAsia="黑体" w:cs="黑体"/>
          <w:spacing w:val="0"/>
          <w:sz w:val="44"/>
          <w:szCs w:val="44"/>
        </w:rPr>
      </w:pPr>
      <w:r>
        <w:rPr>
          <w:rFonts w:hint="eastAsia" w:ascii="黑体" w:hAnsi="黑体" w:eastAsia="黑体" w:cs="黑体"/>
          <w:spacing w:val="0"/>
          <w:sz w:val="44"/>
          <w:szCs w:val="44"/>
        </w:rPr>
        <w:t>编 写 提 纲</w:t>
      </w:r>
    </w:p>
    <w:p>
      <w:pPr>
        <w:keepNext w:val="0"/>
        <w:keepLines w:val="0"/>
        <w:pageBreakBefore w:val="0"/>
        <w:widowControl w:val="0"/>
        <w:kinsoku/>
        <w:wordWrap/>
        <w:overflowPunct/>
        <w:topLinePunct w:val="0"/>
        <w:autoSpaceDE/>
        <w:autoSpaceDN/>
        <w:bidi w:val="0"/>
        <w:adjustRightInd w:val="0"/>
        <w:snapToGrid w:val="0"/>
        <w:spacing w:line="634" w:lineRule="exact"/>
        <w:ind w:firstLine="640" w:firstLineChars="200"/>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634"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（一）目的意义</w:t>
      </w:r>
    </w:p>
    <w:p>
      <w:pPr>
        <w:keepNext w:val="0"/>
        <w:keepLines w:val="0"/>
        <w:pageBreakBefore w:val="0"/>
        <w:widowControl w:val="0"/>
        <w:kinsoku/>
        <w:wordWrap/>
        <w:overflowPunct/>
        <w:topLinePunct w:val="0"/>
        <w:autoSpaceDE/>
        <w:autoSpaceDN/>
        <w:bidi w:val="0"/>
        <w:adjustRightInd w:val="0"/>
        <w:snapToGrid w:val="0"/>
        <w:spacing w:line="634"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从促进循环经济规模化和规范化发展、减少资源能源消耗和污染物排放、提高资源综合利用水平和产品质量水平、提升试点单位标准化能力和综合竞争力等方面分析循环经济标准化对试点单位的意义。</w:t>
      </w:r>
    </w:p>
    <w:p>
      <w:pPr>
        <w:keepNext w:val="0"/>
        <w:keepLines w:val="0"/>
        <w:pageBreakBefore w:val="0"/>
        <w:widowControl w:val="0"/>
        <w:kinsoku/>
        <w:wordWrap/>
        <w:overflowPunct/>
        <w:topLinePunct w:val="0"/>
        <w:autoSpaceDE/>
        <w:autoSpaceDN/>
        <w:bidi w:val="0"/>
        <w:adjustRightInd w:val="0"/>
        <w:snapToGrid w:val="0"/>
        <w:spacing w:line="634"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（二）现状和发展基础</w:t>
      </w:r>
    </w:p>
    <w:p>
      <w:pPr>
        <w:keepNext w:val="0"/>
        <w:keepLines w:val="0"/>
        <w:pageBreakBefore w:val="0"/>
        <w:widowControl w:val="0"/>
        <w:kinsoku/>
        <w:wordWrap/>
        <w:overflowPunct/>
        <w:topLinePunct w:val="0"/>
        <w:autoSpaceDE/>
        <w:autoSpaceDN/>
        <w:bidi w:val="0"/>
        <w:adjustRightInd w:val="0"/>
        <w:snapToGrid w:val="0"/>
        <w:spacing w:line="634"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1.循环经济发展现状：简述生产经营情况、循环经济产业链及发展模式，节能、节水、环保、循环利用等技术工艺、设备应用情况等，当前主要能源和资源的消耗水平、主要资源产出率水平</w:t>
      </w:r>
      <w:r>
        <w:rPr>
          <w:rStyle w:val="10"/>
          <w:rFonts w:hint="eastAsia" w:ascii="仿宋_GB2312" w:hAnsi="仿宋_GB2312" w:eastAsia="仿宋_GB2312" w:cs="仿宋_GB2312"/>
          <w:spacing w:val="0"/>
          <w:sz w:val="32"/>
          <w:szCs w:val="32"/>
        </w:rPr>
        <w:footnoteReference w:id="0"/>
      </w:r>
      <w:r>
        <w:rPr>
          <w:rFonts w:hint="eastAsia" w:ascii="仿宋_GB2312" w:hAnsi="仿宋_GB2312" w:eastAsia="仿宋_GB2312" w:cs="仿宋_GB2312"/>
          <w:spacing w:val="0"/>
          <w:sz w:val="32"/>
          <w:szCs w:val="32"/>
        </w:rPr>
        <w:t>及其与同行业的比较，主要特征污染物、温室气体种类及排放量，固体废弃物综合利用率，废弃物综合利用量，以及“十四五”以来节能减排目标的完成情况，并附循环经济产业链图。</w:t>
      </w:r>
    </w:p>
    <w:p>
      <w:pPr>
        <w:keepNext w:val="0"/>
        <w:keepLines w:val="0"/>
        <w:pageBreakBefore w:val="0"/>
        <w:widowControl w:val="0"/>
        <w:kinsoku/>
        <w:wordWrap/>
        <w:overflowPunct/>
        <w:topLinePunct w:val="0"/>
        <w:autoSpaceDE/>
        <w:autoSpaceDN/>
        <w:bidi w:val="0"/>
        <w:adjustRightInd w:val="0"/>
        <w:snapToGrid w:val="0"/>
        <w:spacing w:line="634"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2.循环经济标准化现状：简述循环经济标准化技术基础、节能节水环保循环利用等标准制定及实施、标准宣传和培训、标准化人才培养、技术标准机构等方面的情况。</w:t>
      </w:r>
    </w:p>
    <w:p>
      <w:pPr>
        <w:keepNext w:val="0"/>
        <w:keepLines w:val="0"/>
        <w:pageBreakBefore w:val="0"/>
        <w:widowControl w:val="0"/>
        <w:kinsoku/>
        <w:wordWrap/>
        <w:overflowPunct/>
        <w:topLinePunct w:val="0"/>
        <w:autoSpaceDE/>
        <w:autoSpaceDN/>
        <w:bidi w:val="0"/>
        <w:adjustRightInd w:val="0"/>
        <w:snapToGrid w:val="0"/>
        <w:spacing w:line="634"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3.循环经济发展面临的问题：重点阐述需要借助标准化手段解决的问题。</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（三）总体思路、原则和目标</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1.总体思路</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2.基本原则</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3.主要目标</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（1）总体目标：从标准体系建立、标准制修订数量和级别、标准化培训人数和次数、采标贯标、标准信息平台建设和服务、标准化工作模式等方面，提出</w:t>
      </w:r>
      <w:r>
        <w:rPr>
          <w:rFonts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rPr>
        <w:t>年试点的总体目标。</w:t>
      </w:r>
    </w:p>
    <w:p>
      <w:pPr>
        <w:adjustRightInd w:val="0"/>
        <w:snapToGrid w:val="0"/>
        <w:spacing w:line="360" w:lineRule="auto"/>
        <w:ind w:firstLine="640" w:firstLineChars="200"/>
        <w:jc w:val="lef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（2）主要指标：</w:t>
      </w:r>
      <w:r>
        <w:rPr>
          <w:rFonts w:hint="eastAsia" w:ascii="仿宋_GB2312" w:hAnsi="仿宋_GB2312" w:eastAsia="仿宋_GB2312" w:cs="仿宋_GB2312"/>
          <w:color w:val="000000"/>
          <w:spacing w:val="0"/>
          <w:sz w:val="32"/>
          <w:szCs w:val="32"/>
        </w:rPr>
        <w:t>申报单位根据自身特点</w:t>
      </w:r>
      <w:r>
        <w:rPr>
          <w:rFonts w:hint="eastAsia" w:ascii="仿宋_GB2312" w:hAnsi="仿宋_GB2312" w:eastAsia="仿宋_GB2312" w:cs="仿宋_GB2312"/>
          <w:spacing w:val="0"/>
          <w:sz w:val="32"/>
          <w:szCs w:val="32"/>
        </w:rPr>
        <w:t>合理设定体现循环经济标准化成效的、可量化的指标，并以表格的形式给出，主要包括但不限于如下示例表所示的指标。</w:t>
      </w:r>
    </w:p>
    <w:p>
      <w:pPr>
        <w:adjustRightInd w:val="0"/>
        <w:snapToGrid w:val="0"/>
        <w:spacing w:line="360" w:lineRule="auto"/>
        <w:ind w:firstLine="640" w:firstLineChars="200"/>
        <w:jc w:val="center"/>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表1 主要指标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2403"/>
        <w:gridCol w:w="2409"/>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jc w:val="center"/>
              <w:rPr>
                <w:rFonts w:hint="default" w:ascii="Times New Roman" w:hAnsi="Times New Roman" w:eastAsia="黑体" w:cs="Times New Roman"/>
                <w:b w:val="0"/>
                <w:bCs/>
                <w:spacing w:val="0"/>
                <w:sz w:val="28"/>
                <w:szCs w:val="28"/>
              </w:rPr>
            </w:pPr>
            <w:r>
              <w:rPr>
                <w:rFonts w:hint="default" w:ascii="Times New Roman" w:hAnsi="Times New Roman" w:eastAsia="黑体" w:cs="Times New Roman"/>
                <w:b w:val="0"/>
                <w:bCs/>
                <w:spacing w:val="0"/>
                <w:sz w:val="28"/>
                <w:szCs w:val="28"/>
              </w:rPr>
              <w:t>指标</w:t>
            </w:r>
          </w:p>
        </w:tc>
        <w:tc>
          <w:tcPr>
            <w:tcW w:w="2409" w:type="dxa"/>
            <w:noWrap w:val="0"/>
            <w:vAlign w:val="center"/>
          </w:tcPr>
          <w:p>
            <w:pPr>
              <w:adjustRightInd w:val="0"/>
              <w:snapToGrid w:val="0"/>
              <w:jc w:val="center"/>
              <w:rPr>
                <w:rFonts w:hint="default" w:ascii="Times New Roman" w:hAnsi="Times New Roman" w:eastAsia="黑体" w:cs="Times New Roman"/>
                <w:b w:val="0"/>
                <w:bCs/>
                <w:spacing w:val="0"/>
                <w:sz w:val="28"/>
                <w:szCs w:val="28"/>
              </w:rPr>
            </w:pPr>
            <w:r>
              <w:rPr>
                <w:rFonts w:hint="default" w:ascii="Times New Roman" w:hAnsi="Times New Roman" w:eastAsia="黑体" w:cs="Times New Roman"/>
                <w:b w:val="0"/>
                <w:bCs/>
                <w:spacing w:val="0"/>
                <w:sz w:val="28"/>
                <w:szCs w:val="28"/>
              </w:rPr>
              <w:t>基期值（2022年）</w:t>
            </w:r>
          </w:p>
        </w:tc>
        <w:tc>
          <w:tcPr>
            <w:tcW w:w="2409" w:type="dxa"/>
            <w:noWrap w:val="0"/>
            <w:vAlign w:val="center"/>
          </w:tcPr>
          <w:p>
            <w:pPr>
              <w:adjustRightInd w:val="0"/>
              <w:snapToGrid w:val="0"/>
              <w:jc w:val="center"/>
              <w:rPr>
                <w:rFonts w:hint="default" w:ascii="Times New Roman" w:hAnsi="Times New Roman" w:eastAsia="黑体" w:cs="Times New Roman"/>
                <w:b w:val="0"/>
                <w:bCs/>
                <w:spacing w:val="0"/>
                <w:sz w:val="28"/>
                <w:szCs w:val="28"/>
              </w:rPr>
            </w:pPr>
            <w:r>
              <w:rPr>
                <w:rFonts w:hint="default" w:ascii="Times New Roman" w:hAnsi="Times New Roman" w:eastAsia="黑体" w:cs="Times New Roman"/>
                <w:b w:val="0"/>
                <w:bCs/>
                <w:spacing w:val="0"/>
                <w:sz w:val="28"/>
                <w:szCs w:val="28"/>
              </w:rPr>
              <w:t>目标值（202</w:t>
            </w:r>
            <w:r>
              <w:rPr>
                <w:rFonts w:hint="default" w:ascii="Times New Roman" w:hAnsi="Times New Roman" w:eastAsia="黑体" w:cs="Times New Roman"/>
                <w:b w:val="0"/>
                <w:bCs/>
                <w:spacing w:val="0"/>
                <w:sz w:val="28"/>
                <w:szCs w:val="28"/>
                <w:lang w:val="en-US" w:eastAsia="zh-CN"/>
              </w:rPr>
              <w:t>3</w:t>
            </w:r>
            <w:r>
              <w:rPr>
                <w:rFonts w:hint="default" w:ascii="Times New Roman" w:hAnsi="Times New Roman" w:eastAsia="黑体" w:cs="Times New Roman"/>
                <w:b w:val="0"/>
                <w:bCs/>
                <w:spacing w:val="0"/>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总产值（万元）</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循环经济相关产值（万元）</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主要产品类别及产量</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主要原材料及消耗量</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单位产品（或万元产值）综合能耗</w:t>
            </w:r>
            <w:r>
              <w:rPr>
                <w:rFonts w:hint="eastAsia" w:ascii="仿宋_GB2312" w:hAnsi="仿宋_GB2312" w:eastAsia="仿宋_GB2312" w:cs="仿宋_GB2312"/>
                <w:spacing w:val="0"/>
                <w:sz w:val="28"/>
                <w:szCs w:val="28"/>
                <w:vertAlign w:val="superscript"/>
              </w:rPr>
              <w:t>1</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单位产品（或万元产值）取水量</w:t>
            </w:r>
            <w:r>
              <w:rPr>
                <w:rFonts w:hint="eastAsia" w:ascii="仿宋_GB2312" w:hAnsi="仿宋_GB2312" w:eastAsia="仿宋_GB2312" w:cs="仿宋_GB2312"/>
                <w:spacing w:val="0"/>
                <w:sz w:val="28"/>
                <w:szCs w:val="28"/>
                <w:vertAlign w:val="superscript"/>
              </w:rPr>
              <w:t>2</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单位产品（或万元产值）温室气体排放量</w:t>
            </w:r>
            <w:r>
              <w:rPr>
                <w:rFonts w:hint="eastAsia" w:ascii="仿宋_GB2312" w:hAnsi="仿宋_GB2312" w:eastAsia="仿宋_GB2312" w:cs="仿宋_GB2312"/>
                <w:spacing w:val="0"/>
                <w:sz w:val="28"/>
                <w:szCs w:val="28"/>
                <w:vertAlign w:val="superscript"/>
              </w:rPr>
              <w:t>3</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再生资源回收加工利用量</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highlight w:val="yellow"/>
              </w:rPr>
            </w:pPr>
            <w:r>
              <w:rPr>
                <w:rFonts w:hint="eastAsia" w:ascii="仿宋_GB2312" w:hAnsi="仿宋_GB2312" w:eastAsia="仿宋_GB2312" w:cs="仿宋_GB2312"/>
                <w:spacing w:val="0"/>
                <w:sz w:val="28"/>
                <w:szCs w:val="28"/>
              </w:rPr>
              <w:t>固体废弃物综合利用率</w:t>
            </w:r>
            <w:r>
              <w:rPr>
                <w:rFonts w:hint="eastAsia" w:ascii="仿宋_GB2312" w:hAnsi="仿宋_GB2312" w:eastAsia="仿宋_GB2312" w:cs="仿宋_GB2312"/>
                <w:spacing w:val="0"/>
                <w:sz w:val="28"/>
                <w:szCs w:val="28"/>
                <w:vertAlign w:val="superscript"/>
              </w:rPr>
              <w:t>4</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ascii="仿宋_GB2312" w:hAnsi="仿宋_GB2312" w:eastAsia="仿宋_GB2312" w:cs="仿宋_GB2312"/>
                <w:spacing w:val="0"/>
                <w:sz w:val="28"/>
                <w:szCs w:val="28"/>
                <w:highlight w:val="yellow"/>
              </w:rPr>
            </w:pPr>
            <w:r>
              <w:rPr>
                <w:rFonts w:hint="eastAsia" w:ascii="仿宋_GB2312" w:hAnsi="仿宋_GB2312" w:eastAsia="仿宋_GB2312" w:cs="仿宋_GB2312"/>
                <w:spacing w:val="0"/>
                <w:sz w:val="28"/>
                <w:szCs w:val="28"/>
              </w:rPr>
              <w:t>水重复利用率</w:t>
            </w:r>
            <w:r>
              <w:rPr>
                <w:rFonts w:hint="eastAsia" w:ascii="仿宋_GB2312" w:hAnsi="仿宋_GB2312" w:eastAsia="仿宋_GB2312" w:cs="仿宋_GB2312"/>
                <w:spacing w:val="0"/>
                <w:sz w:val="28"/>
                <w:szCs w:val="28"/>
                <w:vertAlign w:val="superscript"/>
              </w:rPr>
              <w:t>4</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强制性标准贯标率</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推荐性标准贯标率</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3" w:type="dxa"/>
            <w:vMerge w:val="restart"/>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制定标准数</w:t>
            </w:r>
            <w:r>
              <w:rPr>
                <w:rFonts w:hint="eastAsia" w:ascii="仿宋_GB2312" w:hAnsi="仿宋_GB2312" w:eastAsia="仿宋_GB2312" w:cs="仿宋_GB2312"/>
                <w:spacing w:val="0"/>
                <w:sz w:val="28"/>
                <w:szCs w:val="28"/>
                <w:vertAlign w:val="superscript"/>
              </w:rPr>
              <w:t>5</w:t>
            </w:r>
          </w:p>
        </w:tc>
        <w:tc>
          <w:tcPr>
            <w:tcW w:w="2403" w:type="dxa"/>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国际标准</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3" w:type="dxa"/>
            <w:vMerge w:val="continue"/>
            <w:noWrap w:val="0"/>
            <w:vAlign w:val="center"/>
          </w:tcPr>
          <w:p>
            <w:pPr>
              <w:adjustRightInd w:val="0"/>
              <w:snapToGrid w:val="0"/>
              <w:rPr>
                <w:rFonts w:hint="eastAsia" w:ascii="仿宋_GB2312" w:hAnsi="仿宋_GB2312" w:eastAsia="仿宋_GB2312" w:cs="仿宋_GB2312"/>
                <w:spacing w:val="0"/>
                <w:sz w:val="28"/>
                <w:szCs w:val="28"/>
              </w:rPr>
            </w:pPr>
          </w:p>
        </w:tc>
        <w:tc>
          <w:tcPr>
            <w:tcW w:w="2403" w:type="dxa"/>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国家标准</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33" w:type="dxa"/>
            <w:vMerge w:val="continue"/>
            <w:noWrap w:val="0"/>
            <w:vAlign w:val="center"/>
          </w:tcPr>
          <w:p>
            <w:pPr>
              <w:adjustRightInd w:val="0"/>
              <w:snapToGrid w:val="0"/>
              <w:rPr>
                <w:rFonts w:hint="eastAsia" w:ascii="仿宋_GB2312" w:hAnsi="仿宋_GB2312" w:eastAsia="仿宋_GB2312" w:cs="仿宋_GB2312"/>
                <w:spacing w:val="0"/>
                <w:sz w:val="28"/>
                <w:szCs w:val="28"/>
              </w:rPr>
            </w:pPr>
          </w:p>
        </w:tc>
        <w:tc>
          <w:tcPr>
            <w:tcW w:w="2403" w:type="dxa"/>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行业标准</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33" w:type="dxa"/>
            <w:vMerge w:val="continue"/>
            <w:noWrap w:val="0"/>
            <w:vAlign w:val="center"/>
          </w:tcPr>
          <w:p>
            <w:pPr>
              <w:adjustRightInd w:val="0"/>
              <w:snapToGrid w:val="0"/>
              <w:rPr>
                <w:rFonts w:hint="eastAsia" w:ascii="仿宋_GB2312" w:hAnsi="仿宋_GB2312" w:eastAsia="仿宋_GB2312" w:cs="仿宋_GB2312"/>
                <w:spacing w:val="0"/>
                <w:sz w:val="28"/>
                <w:szCs w:val="28"/>
              </w:rPr>
            </w:pPr>
          </w:p>
        </w:tc>
        <w:tc>
          <w:tcPr>
            <w:tcW w:w="2403" w:type="dxa"/>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地方标准</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33" w:type="dxa"/>
            <w:vMerge w:val="continue"/>
            <w:noWrap w:val="0"/>
            <w:vAlign w:val="center"/>
          </w:tcPr>
          <w:p>
            <w:pPr>
              <w:adjustRightInd w:val="0"/>
              <w:snapToGrid w:val="0"/>
              <w:rPr>
                <w:rFonts w:hint="eastAsia" w:ascii="仿宋_GB2312" w:hAnsi="仿宋_GB2312" w:eastAsia="仿宋_GB2312" w:cs="仿宋_GB2312"/>
                <w:spacing w:val="0"/>
                <w:sz w:val="28"/>
                <w:szCs w:val="28"/>
              </w:rPr>
            </w:pPr>
          </w:p>
        </w:tc>
        <w:tc>
          <w:tcPr>
            <w:tcW w:w="2403" w:type="dxa"/>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团体标准</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533" w:type="dxa"/>
            <w:vMerge w:val="continue"/>
            <w:noWrap w:val="0"/>
            <w:vAlign w:val="center"/>
          </w:tcPr>
          <w:p>
            <w:pPr>
              <w:adjustRightInd w:val="0"/>
              <w:snapToGrid w:val="0"/>
              <w:rPr>
                <w:rFonts w:hint="eastAsia" w:ascii="仿宋_GB2312" w:hAnsi="仿宋_GB2312" w:eastAsia="仿宋_GB2312" w:cs="仿宋_GB2312"/>
                <w:spacing w:val="0"/>
                <w:sz w:val="28"/>
                <w:szCs w:val="28"/>
              </w:rPr>
            </w:pPr>
          </w:p>
        </w:tc>
        <w:tc>
          <w:tcPr>
            <w:tcW w:w="2403" w:type="dxa"/>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企业标准</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循环经济标准体系完善程度</w:t>
            </w:r>
            <w:r>
              <w:rPr>
                <w:rFonts w:hint="eastAsia" w:ascii="仿宋_GB2312" w:hAnsi="仿宋_GB2312" w:eastAsia="仿宋_GB2312" w:cs="仿宋_GB2312"/>
                <w:spacing w:val="0"/>
                <w:sz w:val="28"/>
                <w:szCs w:val="28"/>
                <w:vertAlign w:val="superscript"/>
              </w:rPr>
              <w:t>6</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循环经济标准化信息服务平台完善程度</w:t>
            </w:r>
            <w:r>
              <w:rPr>
                <w:rFonts w:hint="eastAsia" w:ascii="仿宋_GB2312" w:hAnsi="仿宋_GB2312" w:eastAsia="仿宋_GB2312" w:cs="仿宋_GB2312"/>
                <w:spacing w:val="0"/>
                <w:sz w:val="28"/>
                <w:szCs w:val="28"/>
                <w:vertAlign w:val="superscript"/>
              </w:rPr>
              <w:t>7</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循环经济标准化培训人次</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其他特色指标</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bl>
    <w:p>
      <w:pPr>
        <w:keepNext w:val="0"/>
        <w:keepLines w:val="0"/>
        <w:pageBreakBefore w:val="0"/>
        <w:widowControl w:val="0"/>
        <w:kinsoku/>
        <w:wordWrap/>
        <w:overflowPunct/>
        <w:topLinePunct w:val="0"/>
        <w:autoSpaceDE/>
        <w:autoSpaceDN/>
        <w:bidi w:val="0"/>
        <w:adjustRightInd w:val="0"/>
        <w:snapToGrid w:val="0"/>
        <w:spacing w:line="360" w:lineRule="exact"/>
        <w:ind w:firstLine="612"/>
        <w:textAlignment w:val="auto"/>
        <w:rPr>
          <w:rFonts w:hint="eastAsia" w:ascii="仿宋_GB2312" w:hAnsi="仿宋_GB2312" w:eastAsia="仿宋_GB2312" w:cs="仿宋_GB2312"/>
          <w:spacing w:val="0"/>
          <w:sz w:val="24"/>
          <w:highlight w:val="yellow"/>
        </w:rPr>
      </w:pPr>
      <w:r>
        <w:rPr>
          <w:rFonts w:hint="eastAsia" w:ascii="方正仿宋简体" w:hAnsi="仿宋" w:eastAsia="方正仿宋简体"/>
          <w:spacing w:val="0"/>
          <w:szCs w:val="21"/>
        </w:rPr>
        <w:t>注：</w:t>
      </w:r>
      <w:r>
        <w:rPr>
          <w:rFonts w:hint="eastAsia" w:ascii="仿宋_GB2312" w:hAnsi="仿宋_GB2312" w:eastAsia="仿宋_GB2312" w:cs="仿宋_GB2312"/>
          <w:spacing w:val="0"/>
          <w:sz w:val="24"/>
        </w:rPr>
        <w:t>1.企业依据GB/T</w:t>
      </w:r>
      <w:r>
        <w:rPr>
          <w:rFonts w:hint="eastAsia" w:ascii="仿宋_GB2312" w:hAnsi="仿宋_GB2312" w:eastAsia="仿宋_GB2312" w:cs="仿宋_GB2312"/>
          <w:spacing w:val="0"/>
          <w:sz w:val="24"/>
          <w:lang w:val="en-US" w:eastAsia="zh-CN"/>
        </w:rPr>
        <w:t xml:space="preserve"> </w:t>
      </w:r>
      <w:r>
        <w:rPr>
          <w:rFonts w:hint="eastAsia" w:ascii="仿宋_GB2312" w:hAnsi="仿宋_GB2312" w:eastAsia="仿宋_GB2312" w:cs="仿宋_GB2312"/>
          <w:spacing w:val="0"/>
          <w:sz w:val="24"/>
        </w:rPr>
        <w:t>2589等标准核算单位产品（或万元产值）综合能耗，园区、城市参照核算万元产值综合能耗；2.企业依据GB/T 18820等标准核算单位产品（或万元产值）取水量，园区、城市参照核算万元产值取水量；3.企业依据GB/T</w:t>
      </w:r>
      <w:r>
        <w:rPr>
          <w:rFonts w:hint="eastAsia" w:ascii="仿宋_GB2312" w:hAnsi="仿宋_GB2312" w:eastAsia="仿宋_GB2312" w:cs="仿宋_GB2312"/>
          <w:spacing w:val="0"/>
          <w:sz w:val="24"/>
          <w:lang w:val="en-US" w:eastAsia="zh-CN"/>
        </w:rPr>
        <w:t xml:space="preserve"> </w:t>
      </w:r>
      <w:r>
        <w:rPr>
          <w:rFonts w:hint="eastAsia" w:ascii="仿宋_GB2312" w:hAnsi="仿宋_GB2312" w:eastAsia="仿宋_GB2312" w:cs="仿宋_GB2312"/>
          <w:spacing w:val="0"/>
          <w:sz w:val="24"/>
        </w:rPr>
        <w:t>32150等标准核算单位产品（或万元产值）温室气体排放量，园区、城市参照核算万元产值温室气体排放量；4.依据GB/T 34345等标准核算固体废物综合利用率和水重复利用率；5.制定标准数包括两个数字，即牵头制定的数量和参与制定的数量，两个数之间用逗号隔开，例如（2，3）；6.循环经济标准体系的完善程度包括无、不完善、基本完善和非常完善等四个等级；7.循环经济标准信息化平台完善程度包括无、不完善、基本完善和非常完善等四个等级。</w:t>
      </w:r>
    </w:p>
    <w:p>
      <w:pPr>
        <w:pStyle w:val="3"/>
        <w:rPr>
          <w:rFonts w:hint="eastAsia"/>
          <w:spacing w:val="0"/>
        </w:rPr>
      </w:pP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（四）主要任务</w:t>
      </w:r>
    </w:p>
    <w:p>
      <w:pPr>
        <w:adjustRightInd w:val="0"/>
        <w:snapToGrid w:val="0"/>
        <w:spacing w:line="360" w:lineRule="auto"/>
        <w:ind w:firstLine="640" w:firstLineChars="200"/>
        <w:jc w:val="lef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按照可推广、可复制的原则，参照行业循环经济实践技术指南相关国家标准，加强循环经济标准化典型模式总体设计，重点从循环经济标准体系、标准制修订、采标贯标、标准化培训、标准信息服务、标准化工作模式、运行管理等方面，提出切实可行的任务，推进循环经济标准化工作。</w:t>
      </w:r>
    </w:p>
    <w:p>
      <w:pPr>
        <w:adjustRightInd w:val="0"/>
        <w:snapToGrid w:val="0"/>
        <w:spacing w:line="360" w:lineRule="auto"/>
        <w:ind w:firstLine="640" w:firstLineChars="200"/>
        <w:jc w:val="lef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标准体系构建方面。应针对主导产业链，绘制循环经济产业链图，深入分析循环经济标准化需求，系统收集和分析现有节能、节水、环保、循环利用等相关标准，构建循环经济标准体系框图，给出适用于试点单位的循环经济标准明细表，列出急需制修订的循环经济标准项目。</w:t>
      </w:r>
    </w:p>
    <w:p>
      <w:pPr>
        <w:adjustRightInd w:val="0"/>
        <w:snapToGrid w:val="0"/>
        <w:spacing w:line="360" w:lineRule="auto"/>
        <w:ind w:firstLine="640" w:firstLineChars="200"/>
        <w:jc w:val="lef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2.标准研制方面。根据循环经济标准体系提出的需求，确定需要试点单位及联合有关单位制定的循环经济标准，提出循环经济标准制修订清单列表（示例见下表），并在试点期间完成</w:t>
      </w:r>
      <w:r>
        <w:rPr>
          <w:rFonts w:hint="eastAsia" w:ascii="仿宋_GB2312" w:hAnsi="仿宋_GB2312" w:eastAsia="仿宋_GB2312" w:cs="仿宋_GB2312"/>
          <w:spacing w:val="0"/>
          <w:sz w:val="32"/>
          <w:szCs w:val="32"/>
          <w:lang w:val="en-US" w:eastAsia="zh-CN"/>
        </w:rPr>
        <w:t>研制</w:t>
      </w:r>
      <w:r>
        <w:rPr>
          <w:rFonts w:hint="eastAsia" w:ascii="仿宋_GB2312" w:hAnsi="仿宋_GB2312" w:eastAsia="仿宋_GB2312" w:cs="仿宋_GB2312"/>
          <w:spacing w:val="0"/>
          <w:sz w:val="32"/>
          <w:szCs w:val="32"/>
        </w:rPr>
        <w:t>。</w:t>
      </w:r>
    </w:p>
    <w:p>
      <w:pPr>
        <w:pStyle w:val="3"/>
        <w:jc w:val="center"/>
        <w:rPr>
          <w:rFonts w:hint="default" w:eastAsia="仿宋_GB2312"/>
          <w:spacing w:val="0"/>
          <w:lang w:val="en-US" w:eastAsia="zh-CN"/>
        </w:rPr>
      </w:pPr>
      <w:r>
        <w:rPr>
          <w:rFonts w:hint="eastAsia" w:ascii="仿宋_GB2312" w:hAnsi="仿宋_GB2312" w:eastAsia="仿宋_GB2312" w:cs="仿宋_GB2312"/>
          <w:spacing w:val="0"/>
          <w:sz w:val="32"/>
          <w:szCs w:val="32"/>
          <w:lang w:val="en-US" w:eastAsia="zh-CN"/>
        </w:rPr>
        <w:t xml:space="preserve">表2 </w:t>
      </w:r>
      <w:r>
        <w:rPr>
          <w:rFonts w:hint="eastAsia" w:ascii="仿宋_GB2312" w:hAnsi="仿宋_GB2312" w:eastAsia="仿宋_GB2312" w:cs="仿宋_GB2312"/>
          <w:spacing w:val="0"/>
          <w:sz w:val="32"/>
          <w:szCs w:val="32"/>
        </w:rPr>
        <w:t>循环经济标准制修订清单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301"/>
        <w:gridCol w:w="2131"/>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adjustRightInd w:val="0"/>
              <w:snapToGrid w:val="0"/>
              <w:jc w:val="center"/>
              <w:rPr>
                <w:rFonts w:hint="eastAsia" w:ascii="黑体" w:hAnsi="黑体" w:eastAsia="黑体" w:cs="黑体"/>
                <w:b w:val="0"/>
                <w:bCs/>
                <w:spacing w:val="0"/>
                <w:sz w:val="24"/>
              </w:rPr>
            </w:pPr>
            <w:r>
              <w:rPr>
                <w:rFonts w:hint="eastAsia" w:ascii="黑体" w:hAnsi="黑体" w:eastAsia="黑体" w:cs="黑体"/>
                <w:b w:val="0"/>
                <w:bCs/>
                <w:spacing w:val="0"/>
                <w:sz w:val="24"/>
              </w:rPr>
              <w:t>序号</w:t>
            </w:r>
          </w:p>
        </w:tc>
        <w:tc>
          <w:tcPr>
            <w:tcW w:w="3301" w:type="dxa"/>
            <w:noWrap w:val="0"/>
            <w:vAlign w:val="top"/>
          </w:tcPr>
          <w:p>
            <w:pPr>
              <w:adjustRightInd w:val="0"/>
              <w:snapToGrid w:val="0"/>
              <w:jc w:val="center"/>
              <w:rPr>
                <w:rFonts w:hint="eastAsia" w:ascii="黑体" w:hAnsi="黑体" w:eastAsia="黑体" w:cs="黑体"/>
                <w:b w:val="0"/>
                <w:bCs/>
                <w:spacing w:val="0"/>
                <w:sz w:val="24"/>
              </w:rPr>
            </w:pPr>
            <w:r>
              <w:rPr>
                <w:rFonts w:hint="eastAsia" w:ascii="黑体" w:hAnsi="黑体" w:eastAsia="黑体" w:cs="黑体"/>
                <w:b w:val="0"/>
                <w:bCs/>
                <w:spacing w:val="0"/>
                <w:sz w:val="24"/>
              </w:rPr>
              <w:t>标准名称</w:t>
            </w:r>
          </w:p>
        </w:tc>
        <w:tc>
          <w:tcPr>
            <w:tcW w:w="2131" w:type="dxa"/>
            <w:noWrap w:val="0"/>
            <w:vAlign w:val="top"/>
          </w:tcPr>
          <w:p>
            <w:pPr>
              <w:adjustRightInd w:val="0"/>
              <w:snapToGrid w:val="0"/>
              <w:jc w:val="center"/>
              <w:rPr>
                <w:rFonts w:hint="eastAsia" w:ascii="黑体" w:hAnsi="黑体" w:eastAsia="黑体" w:cs="黑体"/>
                <w:b w:val="0"/>
                <w:bCs/>
                <w:spacing w:val="0"/>
                <w:sz w:val="24"/>
              </w:rPr>
            </w:pPr>
            <w:r>
              <w:rPr>
                <w:rFonts w:hint="eastAsia" w:ascii="黑体" w:hAnsi="黑体" w:eastAsia="黑体" w:cs="黑体"/>
                <w:b w:val="0"/>
                <w:bCs/>
                <w:spacing w:val="0"/>
                <w:sz w:val="24"/>
              </w:rPr>
              <w:t>标准级别</w:t>
            </w:r>
          </w:p>
        </w:tc>
        <w:tc>
          <w:tcPr>
            <w:tcW w:w="2388" w:type="dxa"/>
            <w:noWrap w:val="0"/>
            <w:vAlign w:val="top"/>
          </w:tcPr>
          <w:p>
            <w:pPr>
              <w:adjustRightInd w:val="0"/>
              <w:snapToGrid w:val="0"/>
              <w:jc w:val="center"/>
              <w:rPr>
                <w:rFonts w:hint="eastAsia" w:ascii="黑体" w:hAnsi="黑体" w:eastAsia="黑体" w:cs="黑体"/>
                <w:b w:val="0"/>
                <w:bCs/>
                <w:spacing w:val="0"/>
                <w:sz w:val="24"/>
              </w:rPr>
            </w:pPr>
            <w:r>
              <w:rPr>
                <w:rFonts w:hint="eastAsia" w:ascii="黑体" w:hAnsi="黑体" w:eastAsia="黑体" w:cs="黑体"/>
                <w:b w:val="0"/>
                <w:bCs/>
                <w:spacing w:val="0"/>
                <w:sz w:val="24"/>
              </w:rPr>
              <w:t>负责部门/负责人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adjustRightInd w:val="0"/>
              <w:snapToGrid w:val="0"/>
              <w:rPr>
                <w:rFonts w:hint="eastAsia" w:ascii="仿宋_GB2312" w:hAnsi="仿宋_GB2312" w:eastAsia="仿宋_GB2312" w:cs="仿宋_GB2312"/>
                <w:spacing w:val="0"/>
                <w:sz w:val="24"/>
              </w:rPr>
            </w:pPr>
          </w:p>
        </w:tc>
        <w:tc>
          <w:tcPr>
            <w:tcW w:w="3301" w:type="dxa"/>
            <w:noWrap w:val="0"/>
            <w:vAlign w:val="top"/>
          </w:tcPr>
          <w:p>
            <w:pPr>
              <w:adjustRightInd w:val="0"/>
              <w:snapToGrid w:val="0"/>
              <w:rPr>
                <w:rFonts w:hint="eastAsia" w:ascii="仿宋_GB2312" w:hAnsi="仿宋_GB2312" w:eastAsia="仿宋_GB2312" w:cs="仿宋_GB2312"/>
                <w:spacing w:val="0"/>
                <w:sz w:val="24"/>
              </w:rPr>
            </w:pPr>
          </w:p>
        </w:tc>
        <w:tc>
          <w:tcPr>
            <w:tcW w:w="2131" w:type="dxa"/>
            <w:noWrap w:val="0"/>
            <w:vAlign w:val="top"/>
          </w:tcPr>
          <w:p>
            <w:pPr>
              <w:adjustRightInd w:val="0"/>
              <w:snapToGrid w:val="0"/>
              <w:rPr>
                <w:rFonts w:hint="eastAsia" w:ascii="仿宋_GB2312" w:hAnsi="仿宋_GB2312" w:eastAsia="仿宋_GB2312" w:cs="仿宋_GB2312"/>
                <w:spacing w:val="0"/>
                <w:sz w:val="24"/>
              </w:rPr>
            </w:pPr>
          </w:p>
        </w:tc>
        <w:tc>
          <w:tcPr>
            <w:tcW w:w="2388" w:type="dxa"/>
            <w:noWrap w:val="0"/>
            <w:vAlign w:val="top"/>
          </w:tcPr>
          <w:p>
            <w:pPr>
              <w:adjustRightInd w:val="0"/>
              <w:snapToGrid w:val="0"/>
              <w:rPr>
                <w:rFonts w:hint="eastAsia" w:ascii="仿宋_GB2312" w:hAnsi="仿宋_GB2312" w:eastAsia="仿宋_GB2312" w:cs="仿宋_GB2312"/>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adjustRightInd w:val="0"/>
              <w:snapToGrid w:val="0"/>
              <w:rPr>
                <w:rFonts w:hint="eastAsia" w:ascii="仿宋_GB2312" w:hAnsi="仿宋_GB2312" w:eastAsia="仿宋_GB2312" w:cs="仿宋_GB2312"/>
                <w:spacing w:val="0"/>
                <w:sz w:val="24"/>
              </w:rPr>
            </w:pPr>
          </w:p>
        </w:tc>
        <w:tc>
          <w:tcPr>
            <w:tcW w:w="3301" w:type="dxa"/>
            <w:noWrap w:val="0"/>
            <w:vAlign w:val="top"/>
          </w:tcPr>
          <w:p>
            <w:pPr>
              <w:adjustRightInd w:val="0"/>
              <w:snapToGrid w:val="0"/>
              <w:rPr>
                <w:rFonts w:hint="eastAsia" w:ascii="仿宋_GB2312" w:hAnsi="仿宋_GB2312" w:eastAsia="仿宋_GB2312" w:cs="仿宋_GB2312"/>
                <w:spacing w:val="0"/>
                <w:sz w:val="24"/>
              </w:rPr>
            </w:pPr>
          </w:p>
        </w:tc>
        <w:tc>
          <w:tcPr>
            <w:tcW w:w="2131" w:type="dxa"/>
            <w:noWrap w:val="0"/>
            <w:vAlign w:val="top"/>
          </w:tcPr>
          <w:p>
            <w:pPr>
              <w:adjustRightInd w:val="0"/>
              <w:snapToGrid w:val="0"/>
              <w:rPr>
                <w:rFonts w:hint="eastAsia" w:ascii="仿宋_GB2312" w:hAnsi="仿宋_GB2312" w:eastAsia="仿宋_GB2312" w:cs="仿宋_GB2312"/>
                <w:spacing w:val="0"/>
                <w:sz w:val="24"/>
              </w:rPr>
            </w:pPr>
          </w:p>
        </w:tc>
        <w:tc>
          <w:tcPr>
            <w:tcW w:w="2388" w:type="dxa"/>
            <w:noWrap w:val="0"/>
            <w:vAlign w:val="top"/>
          </w:tcPr>
          <w:p>
            <w:pPr>
              <w:adjustRightInd w:val="0"/>
              <w:snapToGrid w:val="0"/>
              <w:rPr>
                <w:rFonts w:hint="eastAsia" w:ascii="仿宋_GB2312" w:hAnsi="仿宋_GB2312" w:eastAsia="仿宋_GB2312" w:cs="仿宋_GB2312"/>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adjustRightInd w:val="0"/>
              <w:snapToGrid w:val="0"/>
              <w:rPr>
                <w:rFonts w:hint="eastAsia" w:ascii="仿宋_GB2312" w:hAnsi="仿宋_GB2312" w:eastAsia="仿宋_GB2312" w:cs="仿宋_GB2312"/>
                <w:spacing w:val="0"/>
                <w:sz w:val="24"/>
              </w:rPr>
            </w:pPr>
          </w:p>
        </w:tc>
        <w:tc>
          <w:tcPr>
            <w:tcW w:w="3301" w:type="dxa"/>
            <w:noWrap w:val="0"/>
            <w:vAlign w:val="top"/>
          </w:tcPr>
          <w:p>
            <w:pPr>
              <w:adjustRightInd w:val="0"/>
              <w:snapToGrid w:val="0"/>
              <w:rPr>
                <w:rFonts w:hint="eastAsia" w:ascii="仿宋_GB2312" w:hAnsi="仿宋_GB2312" w:eastAsia="仿宋_GB2312" w:cs="仿宋_GB2312"/>
                <w:spacing w:val="0"/>
                <w:sz w:val="24"/>
              </w:rPr>
            </w:pPr>
          </w:p>
        </w:tc>
        <w:tc>
          <w:tcPr>
            <w:tcW w:w="2131" w:type="dxa"/>
            <w:noWrap w:val="0"/>
            <w:vAlign w:val="top"/>
          </w:tcPr>
          <w:p>
            <w:pPr>
              <w:adjustRightInd w:val="0"/>
              <w:snapToGrid w:val="0"/>
              <w:rPr>
                <w:rFonts w:hint="eastAsia" w:ascii="仿宋_GB2312" w:hAnsi="仿宋_GB2312" w:eastAsia="仿宋_GB2312" w:cs="仿宋_GB2312"/>
                <w:spacing w:val="0"/>
                <w:sz w:val="24"/>
              </w:rPr>
            </w:pPr>
          </w:p>
        </w:tc>
        <w:tc>
          <w:tcPr>
            <w:tcW w:w="2388" w:type="dxa"/>
            <w:noWrap w:val="0"/>
            <w:vAlign w:val="top"/>
          </w:tcPr>
          <w:p>
            <w:pPr>
              <w:adjustRightInd w:val="0"/>
              <w:snapToGrid w:val="0"/>
              <w:rPr>
                <w:rFonts w:hint="eastAsia" w:ascii="仿宋_GB2312" w:hAnsi="仿宋_GB2312" w:eastAsia="仿宋_GB2312" w:cs="仿宋_GB2312"/>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adjustRightInd w:val="0"/>
              <w:snapToGrid w:val="0"/>
              <w:rPr>
                <w:rFonts w:hint="eastAsia" w:ascii="仿宋_GB2312" w:hAnsi="仿宋_GB2312" w:eastAsia="仿宋_GB2312" w:cs="仿宋_GB2312"/>
                <w:spacing w:val="0"/>
                <w:sz w:val="24"/>
              </w:rPr>
            </w:pPr>
          </w:p>
        </w:tc>
        <w:tc>
          <w:tcPr>
            <w:tcW w:w="3301" w:type="dxa"/>
            <w:noWrap w:val="0"/>
            <w:vAlign w:val="top"/>
          </w:tcPr>
          <w:p>
            <w:pPr>
              <w:adjustRightInd w:val="0"/>
              <w:snapToGrid w:val="0"/>
              <w:rPr>
                <w:rFonts w:hint="eastAsia" w:ascii="仿宋_GB2312" w:hAnsi="仿宋_GB2312" w:eastAsia="仿宋_GB2312" w:cs="仿宋_GB2312"/>
                <w:spacing w:val="0"/>
                <w:sz w:val="24"/>
              </w:rPr>
            </w:pPr>
          </w:p>
        </w:tc>
        <w:tc>
          <w:tcPr>
            <w:tcW w:w="2131" w:type="dxa"/>
            <w:noWrap w:val="0"/>
            <w:vAlign w:val="top"/>
          </w:tcPr>
          <w:p>
            <w:pPr>
              <w:adjustRightInd w:val="0"/>
              <w:snapToGrid w:val="0"/>
              <w:rPr>
                <w:rFonts w:hint="eastAsia" w:ascii="仿宋_GB2312" w:hAnsi="仿宋_GB2312" w:eastAsia="仿宋_GB2312" w:cs="仿宋_GB2312"/>
                <w:spacing w:val="0"/>
                <w:sz w:val="24"/>
              </w:rPr>
            </w:pPr>
          </w:p>
        </w:tc>
        <w:tc>
          <w:tcPr>
            <w:tcW w:w="2388" w:type="dxa"/>
            <w:noWrap w:val="0"/>
            <w:vAlign w:val="top"/>
          </w:tcPr>
          <w:p>
            <w:pPr>
              <w:adjustRightInd w:val="0"/>
              <w:snapToGrid w:val="0"/>
              <w:rPr>
                <w:rFonts w:hint="eastAsia" w:ascii="仿宋_GB2312" w:hAnsi="仿宋_GB2312" w:eastAsia="仿宋_GB2312" w:cs="仿宋_GB2312"/>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adjustRightInd w:val="0"/>
              <w:snapToGrid w:val="0"/>
              <w:rPr>
                <w:rFonts w:hint="eastAsia" w:ascii="仿宋_GB2312" w:hAnsi="仿宋_GB2312" w:eastAsia="仿宋_GB2312" w:cs="仿宋_GB2312"/>
                <w:spacing w:val="0"/>
                <w:sz w:val="24"/>
              </w:rPr>
            </w:pPr>
          </w:p>
        </w:tc>
        <w:tc>
          <w:tcPr>
            <w:tcW w:w="3301" w:type="dxa"/>
            <w:noWrap w:val="0"/>
            <w:vAlign w:val="top"/>
          </w:tcPr>
          <w:p>
            <w:pPr>
              <w:adjustRightInd w:val="0"/>
              <w:snapToGrid w:val="0"/>
              <w:rPr>
                <w:rFonts w:hint="eastAsia" w:ascii="仿宋_GB2312" w:hAnsi="仿宋_GB2312" w:eastAsia="仿宋_GB2312" w:cs="仿宋_GB2312"/>
                <w:spacing w:val="0"/>
                <w:sz w:val="24"/>
              </w:rPr>
            </w:pPr>
          </w:p>
        </w:tc>
        <w:tc>
          <w:tcPr>
            <w:tcW w:w="2131" w:type="dxa"/>
            <w:noWrap w:val="0"/>
            <w:vAlign w:val="top"/>
          </w:tcPr>
          <w:p>
            <w:pPr>
              <w:adjustRightInd w:val="0"/>
              <w:snapToGrid w:val="0"/>
              <w:rPr>
                <w:rFonts w:hint="eastAsia" w:ascii="仿宋_GB2312" w:hAnsi="仿宋_GB2312" w:eastAsia="仿宋_GB2312" w:cs="仿宋_GB2312"/>
                <w:spacing w:val="0"/>
                <w:sz w:val="24"/>
              </w:rPr>
            </w:pPr>
          </w:p>
        </w:tc>
        <w:tc>
          <w:tcPr>
            <w:tcW w:w="2388" w:type="dxa"/>
            <w:noWrap w:val="0"/>
            <w:vAlign w:val="top"/>
          </w:tcPr>
          <w:p>
            <w:pPr>
              <w:adjustRightInd w:val="0"/>
              <w:snapToGrid w:val="0"/>
              <w:rPr>
                <w:rFonts w:hint="eastAsia" w:ascii="仿宋_GB2312" w:hAnsi="仿宋_GB2312" w:eastAsia="仿宋_GB2312" w:cs="仿宋_GB2312"/>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adjustRightInd w:val="0"/>
              <w:snapToGrid w:val="0"/>
              <w:rPr>
                <w:rFonts w:hint="eastAsia" w:ascii="仿宋_GB2312" w:hAnsi="仿宋_GB2312" w:eastAsia="仿宋_GB2312" w:cs="仿宋_GB2312"/>
                <w:spacing w:val="0"/>
                <w:sz w:val="24"/>
              </w:rPr>
            </w:pPr>
          </w:p>
        </w:tc>
        <w:tc>
          <w:tcPr>
            <w:tcW w:w="3301" w:type="dxa"/>
            <w:noWrap w:val="0"/>
            <w:vAlign w:val="top"/>
          </w:tcPr>
          <w:p>
            <w:pPr>
              <w:adjustRightInd w:val="0"/>
              <w:snapToGrid w:val="0"/>
              <w:rPr>
                <w:rFonts w:hint="eastAsia" w:ascii="仿宋_GB2312" w:hAnsi="仿宋_GB2312" w:eastAsia="仿宋_GB2312" w:cs="仿宋_GB2312"/>
                <w:spacing w:val="0"/>
                <w:sz w:val="24"/>
              </w:rPr>
            </w:pPr>
          </w:p>
        </w:tc>
        <w:tc>
          <w:tcPr>
            <w:tcW w:w="2131" w:type="dxa"/>
            <w:noWrap w:val="0"/>
            <w:vAlign w:val="top"/>
          </w:tcPr>
          <w:p>
            <w:pPr>
              <w:adjustRightInd w:val="0"/>
              <w:snapToGrid w:val="0"/>
              <w:rPr>
                <w:rFonts w:hint="eastAsia" w:ascii="仿宋_GB2312" w:hAnsi="仿宋_GB2312" w:eastAsia="仿宋_GB2312" w:cs="仿宋_GB2312"/>
                <w:spacing w:val="0"/>
                <w:sz w:val="24"/>
              </w:rPr>
            </w:pPr>
          </w:p>
        </w:tc>
        <w:tc>
          <w:tcPr>
            <w:tcW w:w="2388" w:type="dxa"/>
            <w:noWrap w:val="0"/>
            <w:vAlign w:val="top"/>
          </w:tcPr>
          <w:p>
            <w:pPr>
              <w:adjustRightInd w:val="0"/>
              <w:snapToGrid w:val="0"/>
              <w:rPr>
                <w:rFonts w:hint="eastAsia" w:ascii="仿宋_GB2312" w:hAnsi="仿宋_GB2312" w:eastAsia="仿宋_GB2312" w:cs="仿宋_GB2312"/>
                <w:spacing w:val="0"/>
                <w:sz w:val="24"/>
              </w:rPr>
            </w:pPr>
          </w:p>
        </w:tc>
      </w:tr>
    </w:tbl>
    <w:p>
      <w:pPr>
        <w:adjustRightInd w:val="0"/>
        <w:snapToGrid w:val="0"/>
        <w:ind w:firstLine="612"/>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注：标准级别包括国际标准、国家标准、行业标准、地方标准、团体标准和企业标准。</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3.采标贯标方面。应加大采标贯标力度，确定需要加强贯彻实施的标准明细</w:t>
      </w:r>
      <w:r>
        <w:rPr>
          <w:rFonts w:hint="eastAsia" w:ascii="仿宋_GB2312" w:hAnsi="仿宋_GB2312" w:eastAsia="仿宋_GB2312" w:cs="仿宋_GB2312"/>
          <w:spacing w:val="0"/>
          <w:sz w:val="32"/>
          <w:szCs w:val="32"/>
          <w:lang w:val="en-US" w:eastAsia="zh-CN"/>
        </w:rPr>
        <w:t>表</w:t>
      </w:r>
      <w:r>
        <w:rPr>
          <w:rFonts w:hint="eastAsia" w:ascii="仿宋_GB2312" w:hAnsi="仿宋_GB2312" w:eastAsia="仿宋_GB2312" w:cs="仿宋_GB2312"/>
          <w:spacing w:val="0"/>
          <w:sz w:val="32"/>
          <w:szCs w:val="32"/>
        </w:rPr>
        <w:t>，提出切实可行的措施，开展资源、能源、污染物排放、温室气体排放等方面的指标核算，确保标准明细表中强制性标准全部贯彻实施，推荐性标准绝大部分得到贯彻执行，充分体现实施效果，支撑第三章中主要指标的落实。</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4.标准化培训方面。应提出循环经济标准化培训的范围、人数、次数、教材等。</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5.标准化信息平台建设和服务方面。应围绕循环经济标准化的信息需求，依据构建的循环经济标准体系，建立循环经济标准化信息服务平台，并提供</w:t>
      </w:r>
      <w:r>
        <w:rPr>
          <w:rFonts w:hint="eastAsia" w:ascii="仿宋_GB2312" w:hAnsi="仿宋_GB2312" w:eastAsia="仿宋_GB2312" w:cs="仿宋_GB2312"/>
          <w:spacing w:val="0"/>
          <w:sz w:val="32"/>
          <w:szCs w:val="32"/>
          <w:lang w:val="en-US" w:eastAsia="zh-CN"/>
        </w:rPr>
        <w:t>有效的</w:t>
      </w:r>
      <w:r>
        <w:rPr>
          <w:rFonts w:hint="eastAsia" w:ascii="仿宋_GB2312" w:hAnsi="仿宋_GB2312" w:eastAsia="仿宋_GB2312" w:cs="仿宋_GB2312"/>
          <w:spacing w:val="0"/>
          <w:sz w:val="32"/>
          <w:szCs w:val="32"/>
        </w:rPr>
        <w:t>信息服务。</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标准化工作模式及运行管理方面。应提出循环经济标准化工作模式创建、不同部门之间协调机制的建立等具体任务；要突出循环经济标准化管理体制机制创新，明确循环经济标准化试点管理和工作机构，制定循环经济标准化管理制度和任务分工等；提出节能、节水、环保、循环利用等标准的集成应用方法。</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（五）效益分析</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重点对循环经济标准化试点的综合效益进行分析评价，对试点的各项成本及收益进行初步的核算，评估循环经济标准化试点的预期成效，其中，环境效益可参考循环经济评价相关国家标准，并依据相关标准核算实施该循环经济项目的温室气体减排量。地处京津冀、长三角、珠三角、成渝等重点区域的试点项目还需分析项目建设对区域发展带来的预期成效。</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1.经济效益分析</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2.环境效益分析</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3.社会效益分析</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（六）保障措施</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围绕主要目标和主要任务的落实，提出有针对性的保障措施，主要包括组织保障体系、经费保障体系、政策保障体系、技术支撑体系、信息服务体系、评价考核体系、宣传教育体系、公众参与机制以及保障循环经济标准化试点顺利开展的其他措施。</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（七）附件</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项目有关证明文件（复印件，加盖公章）</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1.申报单位的营业执照（政府除外）；</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0"/>
          <w:sz w:val="32"/>
          <w:szCs w:val="32"/>
        </w:rPr>
        <w:t>2.申</w:t>
      </w:r>
      <w:r>
        <w:rPr>
          <w:rFonts w:hint="eastAsia" w:ascii="仿宋_GB2312" w:hAnsi="仿宋_GB2312" w:eastAsia="仿宋_GB2312" w:cs="仿宋_GB2312"/>
          <w:spacing w:val="11"/>
          <w:sz w:val="32"/>
          <w:szCs w:val="32"/>
        </w:rPr>
        <w:t>报单位成为省级及以上循环经济相关试点示范单位证明；</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3.申报单位牵头或参与制定的国际、国家、行业</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地方</w:t>
      </w:r>
      <w:r>
        <w:rPr>
          <w:rFonts w:hint="eastAsia" w:ascii="仿宋_GB2312" w:hAnsi="仿宋_GB2312" w:eastAsia="仿宋_GB2312" w:cs="仿宋_GB2312"/>
          <w:spacing w:val="0"/>
          <w:sz w:val="32"/>
          <w:szCs w:val="32"/>
          <w:lang w:val="en-US" w:eastAsia="zh-CN"/>
        </w:rPr>
        <w:t>及团体</w:t>
      </w:r>
      <w:r>
        <w:rPr>
          <w:rFonts w:hint="eastAsia" w:ascii="仿宋_GB2312" w:hAnsi="仿宋_GB2312" w:eastAsia="仿宋_GB2312" w:cs="仿宋_GB2312"/>
          <w:spacing w:val="0"/>
          <w:sz w:val="32"/>
          <w:szCs w:val="32"/>
        </w:rPr>
        <w:t>标准证明；</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4.申报单位承担或参与的全国/行业专业标准化技术委员会证明；</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5.申报单位具有的与循环经济标准化相关的其他基础条件证明材料。</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spacing w:val="0"/>
          <w:sz w:val="32"/>
          <w:szCs w:val="32"/>
        </w:rPr>
        <w:sectPr>
          <w:pgSz w:w="11906" w:h="16838"/>
          <w:pgMar w:top="1984" w:right="1474" w:bottom="1644" w:left="1474" w:header="851" w:footer="1361" w:gutter="0"/>
          <w:pgBorders>
            <w:top w:val="none" w:sz="0" w:space="0"/>
            <w:left w:val="none" w:sz="0" w:space="0"/>
            <w:bottom w:val="none" w:sz="0" w:space="0"/>
            <w:right w:val="none" w:sz="0" w:space="0"/>
          </w:pgBorders>
          <w:cols w:space="720" w:num="1"/>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default"/>
        <w:lang w:val="en-US"/>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6"/>
        <w:rPr>
          <w:rFonts w:hint="eastAsia" w:eastAsia="仿宋_GB2312"/>
        </w:rPr>
      </w:pPr>
      <w:r>
        <w:rPr>
          <w:rStyle w:val="10"/>
        </w:rPr>
        <w:footnoteRef/>
      </w:r>
      <w:r>
        <w:t xml:space="preserve"> </w:t>
      </w:r>
      <w:r>
        <w:rPr>
          <w:rFonts w:hint="eastAsia" w:ascii="仿宋_GB2312" w:hAnsi="仿宋_GB2312" w:eastAsia="仿宋_GB2312" w:cs="仿宋_GB2312"/>
          <w:sz w:val="24"/>
        </w:rPr>
        <w:t>企业可依据G</w:t>
      </w:r>
      <w:r>
        <w:rPr>
          <w:rFonts w:ascii="仿宋_GB2312" w:hAnsi="仿宋_GB2312" w:eastAsia="仿宋_GB2312" w:cs="仿宋_GB2312"/>
          <w:sz w:val="24"/>
        </w:rPr>
        <w:t>B/T 34345</w:t>
      </w:r>
      <w:r>
        <w:rPr>
          <w:rFonts w:hint="eastAsia" w:ascii="仿宋_GB2312" w:hAnsi="仿宋_GB2312" w:eastAsia="仿宋_GB2312" w:cs="仿宋_GB2312"/>
          <w:sz w:val="24"/>
        </w:rPr>
        <w:t>等标准核算资源产出率，园区、城市可参照核算资源产出率。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NGM0NzM2ODZjMzhkNjBiZDFlN2FiZTkzMTE4NjQifQ=="/>
  </w:docVars>
  <w:rsids>
    <w:rsidRoot w:val="79447AB5"/>
    <w:rsid w:val="79447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footnote text"/>
    <w:basedOn w:val="1"/>
    <w:unhideWhenUsed/>
    <w:qFormat/>
    <w:uiPriority w:val="99"/>
    <w:pPr>
      <w:snapToGrid w:val="0"/>
      <w:jc w:val="left"/>
    </w:pPr>
    <w:rPr>
      <w:sz w:val="18"/>
    </w:rPr>
  </w:style>
  <w:style w:type="character" w:styleId="9">
    <w:name w:val="Hyperlink"/>
    <w:unhideWhenUsed/>
    <w:qFormat/>
    <w:uiPriority w:val="99"/>
    <w:rPr>
      <w:color w:val="0000FF"/>
      <w:u w:val="single"/>
    </w:rPr>
  </w:style>
  <w:style w:type="character" w:styleId="10">
    <w:name w:val="footnote reference"/>
    <w:unhideWhenUsed/>
    <w:qFormat/>
    <w:uiPriority w:val="99"/>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2023-04-13T07:42:00Z</dcterms:created>
  <dc:creator>Administrator</dc:creator>
  <cp:lastModifiedBy>Administrator</cp:lastModifiedBy>
  <dcterms:modified xsi:type="dcterms:W3CDTF">2023-04-13T07:42:59Z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04EFC1E855B24C6AABB318057AFEDB49_11</vt:lpwstr>
  </property>
</Properties>
</file>