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spacing w:before="3"/>
        <w:rPr>
          <w:rFonts w:ascii="Times New Roman"/>
          <w:sz w:val="18"/>
        </w:rPr>
      </w:pPr>
    </w:p>
    <w:p>
      <w:pPr>
        <w:spacing w:before="0" w:line="547" w:lineRule="exact"/>
        <w:ind w:left="106" w:right="0" w:firstLine="0"/>
        <w:jc w:val="left"/>
        <w:rPr>
          <w:rFonts w:ascii="Microsoft YaHei UI"/>
          <w:b/>
          <w:sz w:val="33"/>
        </w:rPr>
      </w:pPr>
      <w:bookmarkStart w:id="0" w:name="附件2"/>
      <w:bookmarkEnd w:id="0"/>
      <w:r>
        <w:rPr>
          <w:rFonts w:hint="eastAsia" w:ascii="Microsoft YaHei UI" w:eastAsia="Microsoft YaHei UI"/>
          <w:b/>
          <w:spacing w:val="3"/>
          <w:w w:val="95"/>
          <w:sz w:val="32"/>
        </w:rPr>
        <w:t xml:space="preserve">附件 </w:t>
      </w:r>
      <w:r>
        <w:rPr>
          <w:rFonts w:ascii="Times New Roman" w:eastAsia="Times New Roman"/>
          <w:b/>
          <w:w w:val="95"/>
          <w:sz w:val="32"/>
        </w:rPr>
        <w:t>2</w:t>
      </w:r>
    </w:p>
    <w:p>
      <w:pPr>
        <w:pStyle w:val="2"/>
        <w:ind w:left="730"/>
        <w:jc w:val="center"/>
        <w:rPr>
          <w:rFonts w:hint="eastAsia"/>
          <w:b/>
          <w:bCs/>
          <w:w w:val="95"/>
          <w:sz w:val="44"/>
          <w:szCs w:val="44"/>
          <w:lang w:val="en-US" w:eastAsia="zh-CN"/>
        </w:rPr>
      </w:pPr>
      <w:bookmarkStart w:id="1" w:name="一、总体目标和安排"/>
      <w:bookmarkEnd w:id="1"/>
      <w:r>
        <w:rPr>
          <w:rFonts w:hint="eastAsia"/>
          <w:b/>
          <w:bCs/>
          <w:w w:val="95"/>
          <w:sz w:val="44"/>
          <w:szCs w:val="44"/>
          <w:lang w:eastAsia="zh-CN"/>
        </w:rPr>
        <w:t>“战略性科技创新合作”重点专项</w:t>
      </w:r>
      <w:r>
        <w:rPr>
          <w:rFonts w:hint="eastAsia"/>
          <w:b/>
          <w:bCs/>
          <w:w w:val="95"/>
          <w:sz w:val="44"/>
          <w:szCs w:val="44"/>
          <w:lang w:val="en-US" w:eastAsia="zh-CN"/>
        </w:rPr>
        <w:t>2023年度</w:t>
      </w:r>
    </w:p>
    <w:p>
      <w:pPr>
        <w:pStyle w:val="2"/>
        <w:ind w:left="730"/>
        <w:jc w:val="center"/>
        <w:rPr>
          <w:rFonts w:hint="eastAsia"/>
          <w:b/>
          <w:bCs/>
          <w:w w:val="95"/>
          <w:sz w:val="44"/>
          <w:szCs w:val="44"/>
          <w:lang w:val="en-US" w:eastAsia="zh-CN"/>
        </w:rPr>
      </w:pPr>
      <w:r>
        <w:rPr>
          <w:rFonts w:hint="eastAsia"/>
          <w:b/>
          <w:bCs/>
          <w:w w:val="95"/>
          <w:sz w:val="44"/>
          <w:szCs w:val="44"/>
          <w:lang w:val="en-US" w:eastAsia="zh-CN"/>
        </w:rPr>
        <w:t>第二批港澳台项目申报指南</w:t>
      </w:r>
    </w:p>
    <w:p>
      <w:pPr>
        <w:pStyle w:val="2"/>
        <w:ind w:left="730"/>
        <w:jc w:val="center"/>
        <w:rPr>
          <w:rFonts w:hint="default"/>
          <w:b/>
          <w:bCs/>
          <w:w w:val="95"/>
          <w:lang w:val="en-US" w:eastAsia="zh-CN"/>
        </w:rPr>
      </w:pPr>
    </w:p>
    <w:p>
      <w:pPr>
        <w:pStyle w:val="2"/>
        <w:ind w:left="730"/>
      </w:pPr>
      <w:r>
        <w:rPr>
          <w:w w:val="95"/>
        </w:rPr>
        <w:t>一、总体目标和安排</w:t>
      </w:r>
      <w:bookmarkStart w:id="3" w:name="_GoBack"/>
      <w:bookmarkEnd w:id="3"/>
    </w:p>
    <w:p>
      <w:pPr>
        <w:pStyle w:val="2"/>
        <w:spacing w:before="224" w:line="340" w:lineRule="auto"/>
        <w:ind w:left="106" w:right="255" w:firstLine="624"/>
      </w:pPr>
      <w:r>
        <w:rPr>
          <w:w w:val="95"/>
        </w:rPr>
        <w:t>港澳台项目是由内地与香港、澳门，大陆与台湾地区相关部</w:t>
      </w:r>
      <w:r>
        <w:t>门根据协议实施的合作项目。</w:t>
      </w:r>
    </w:p>
    <w:p>
      <w:pPr>
        <w:pStyle w:val="2"/>
        <w:spacing w:line="340" w:lineRule="auto"/>
        <w:ind w:left="106" w:right="255" w:firstLine="624"/>
        <w:jc w:val="both"/>
      </w:pPr>
      <w:r>
        <w:rPr>
          <w:w w:val="95"/>
        </w:rPr>
        <w:t>为支持香港更好融入国家科技创新体系，加快香港建设国际创新科技中心，推进内地与香港科技合作，促进内地与香港科技创新资源互联互通，推动协同攻关、解决共同关注的科技问题，</w:t>
      </w:r>
      <w:r>
        <w:rPr>
          <w:spacing w:val="1"/>
          <w:w w:val="95"/>
        </w:rPr>
        <w:t xml:space="preserve"> </w:t>
      </w:r>
      <w:r>
        <w:rPr>
          <w:w w:val="95"/>
        </w:rPr>
        <w:t>提升创新能力协同发展，实现经济社会共同繁荣，本专项</w:t>
      </w:r>
      <w:r>
        <w:rPr>
          <w:spacing w:val="144"/>
        </w:rPr>
        <w:t xml:space="preserve"> </w:t>
      </w:r>
      <w:r>
        <w:rPr>
          <w:rFonts w:ascii="Times New Roman" w:eastAsia="Times New Roman"/>
          <w:w w:val="95"/>
        </w:rPr>
        <w:t>2023</w:t>
      </w:r>
      <w:r>
        <w:rPr>
          <w:rFonts w:ascii="Times New Roman" w:eastAsia="Times New Roman"/>
          <w:spacing w:val="1"/>
          <w:w w:val="95"/>
        </w:rPr>
        <w:t xml:space="preserve"> </w:t>
      </w:r>
      <w:r>
        <w:t>年度支持内地与香港联合资助研发项目。</w:t>
      </w:r>
    </w:p>
    <w:p>
      <w:pPr>
        <w:pStyle w:val="2"/>
        <w:spacing w:before="16"/>
        <w:ind w:left="730"/>
      </w:pPr>
      <w:bookmarkStart w:id="2" w:name="二、领域和方向"/>
      <w:bookmarkEnd w:id="2"/>
      <w:r>
        <w:rPr>
          <w:w w:val="95"/>
        </w:rPr>
        <w:t>二、领域和方向</w:t>
      </w:r>
    </w:p>
    <w:p>
      <w:pPr>
        <w:pStyle w:val="2"/>
        <w:spacing w:before="224"/>
        <w:ind w:left="730"/>
      </w:pPr>
      <w:r>
        <w:rPr>
          <w:spacing w:val="-5"/>
          <w:w w:val="95"/>
        </w:rPr>
        <w:t xml:space="preserve">本批次指南将设立 </w:t>
      </w:r>
      <w:r>
        <w:rPr>
          <w:rFonts w:ascii="Times New Roman" w:eastAsia="Times New Roman"/>
          <w:w w:val="95"/>
        </w:rPr>
        <w:t>1</w:t>
      </w:r>
      <w:r>
        <w:rPr>
          <w:rFonts w:ascii="Times New Roman" w:eastAsia="Times New Roman"/>
          <w:spacing w:val="44"/>
          <w:w w:val="95"/>
        </w:rPr>
        <w:t xml:space="preserve"> </w:t>
      </w:r>
      <w:r>
        <w:rPr>
          <w:spacing w:val="-3"/>
          <w:w w:val="95"/>
        </w:rPr>
        <w:t xml:space="preserve">个指南方向，拟支持项目数 </w:t>
      </w:r>
      <w:r>
        <w:rPr>
          <w:rFonts w:ascii="Times New Roman" w:eastAsia="Times New Roman"/>
          <w:w w:val="95"/>
        </w:rPr>
        <w:t>25</w:t>
      </w:r>
      <w:r>
        <w:rPr>
          <w:rFonts w:ascii="Times New Roman" w:eastAsia="Times New Roman"/>
          <w:spacing w:val="48"/>
          <w:w w:val="95"/>
        </w:rPr>
        <w:t xml:space="preserve"> </w:t>
      </w:r>
      <w:r>
        <w:rPr>
          <w:w w:val="95"/>
        </w:rPr>
        <w:t>项左右，</w:t>
      </w:r>
    </w:p>
    <w:p>
      <w:pPr>
        <w:pStyle w:val="2"/>
        <w:spacing w:before="173" w:line="340" w:lineRule="auto"/>
        <w:ind w:left="106" w:right="255"/>
      </w:pPr>
      <w:r>
        <w:rPr>
          <w:spacing w:val="6"/>
          <w:w w:val="95"/>
        </w:rPr>
        <w:t xml:space="preserve">国拨经费总概算 </w:t>
      </w:r>
      <w:r>
        <w:rPr>
          <w:rFonts w:ascii="Times New Roman" w:eastAsia="Times New Roman"/>
          <w:w w:val="95"/>
        </w:rPr>
        <w:t>0.5</w:t>
      </w:r>
      <w:r>
        <w:rPr>
          <w:rFonts w:ascii="Times New Roman" w:eastAsia="Times New Roman"/>
          <w:spacing w:val="68"/>
          <w:w w:val="95"/>
        </w:rPr>
        <w:t xml:space="preserve"> </w:t>
      </w:r>
      <w:r>
        <w:rPr>
          <w:w w:val="95"/>
        </w:rPr>
        <w:t>亿元人民币。项目不下设课题。具体指南方</w:t>
      </w:r>
      <w:r>
        <w:t>向如下。</w:t>
      </w:r>
    </w:p>
    <w:p>
      <w:pPr>
        <w:spacing w:before="0" w:line="482" w:lineRule="exact"/>
        <w:ind w:left="730" w:right="0" w:firstLine="0"/>
        <w:jc w:val="left"/>
        <w:rPr>
          <w:rFonts w:hint="eastAsia" w:ascii="Microsoft YaHei UI" w:eastAsia="Microsoft YaHei UI"/>
          <w:b/>
          <w:sz w:val="32"/>
        </w:rPr>
      </w:pPr>
      <w:r>
        <w:rPr>
          <w:rFonts w:ascii="Times New Roman" w:eastAsia="Times New Roman"/>
          <w:b/>
          <w:spacing w:val="-1"/>
          <w:sz w:val="32"/>
        </w:rPr>
        <w:t>1.1</w:t>
      </w:r>
      <w:r>
        <w:rPr>
          <w:rFonts w:ascii="Times New Roman" w:eastAsia="Times New Roman"/>
          <w:b/>
          <w:spacing w:val="18"/>
          <w:sz w:val="32"/>
        </w:rPr>
        <w:t xml:space="preserve"> </w:t>
      </w:r>
      <w:r>
        <w:rPr>
          <w:rFonts w:hint="eastAsia" w:ascii="Microsoft YaHei UI" w:eastAsia="Microsoft YaHei UI"/>
          <w:b/>
          <w:spacing w:val="-1"/>
          <w:sz w:val="32"/>
        </w:rPr>
        <w:t>内地与香港联合资助研发项目</w:t>
      </w:r>
    </w:p>
    <w:p>
      <w:pPr>
        <w:pStyle w:val="2"/>
        <w:spacing w:before="101" w:line="340" w:lineRule="auto"/>
        <w:ind w:left="106" w:right="257" w:firstLine="624"/>
      </w:pPr>
      <w:r>
        <w:rPr>
          <w:w w:val="95"/>
        </w:rPr>
        <w:t>内地与香港联合资助研发项目由科技部与香港特别行政区</w:t>
      </w:r>
      <w:r>
        <w:rPr>
          <w:spacing w:val="72"/>
          <w:w w:val="95"/>
        </w:rPr>
        <w:t xml:space="preserve"> </w:t>
      </w:r>
      <w:r>
        <w:t>政府创新及科技局共同支持，共同征集，各自出资。</w:t>
      </w:r>
    </w:p>
    <w:p>
      <w:pPr>
        <w:pStyle w:val="2"/>
        <w:spacing w:line="340" w:lineRule="auto"/>
        <w:ind w:left="106" w:right="258" w:firstLine="624"/>
      </w:pPr>
      <w:r>
        <w:rPr>
          <w:spacing w:val="-14"/>
          <w:w w:val="95"/>
        </w:rPr>
        <w:t>合作协议：《科学技术部与香港特别行政区政府创新及科技</w:t>
      </w:r>
      <w:r>
        <w:rPr>
          <w:spacing w:val="1"/>
          <w:w w:val="95"/>
        </w:rPr>
        <w:t xml:space="preserve"> </w:t>
      </w:r>
      <w:r>
        <w:rPr>
          <w:spacing w:val="-10"/>
        </w:rPr>
        <w:t>局关于开展联合资助研发项目的协议》。</w:t>
      </w:r>
    </w:p>
    <w:p>
      <w:pPr>
        <w:spacing w:before="140"/>
        <w:ind w:left="0" w:right="604" w:firstLine="0"/>
        <w:jc w:val="right"/>
        <w:rPr>
          <w:sz w:val="28"/>
        </w:rPr>
      </w:pP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sz w:val="28"/>
        </w:rPr>
        <w:t>—</w:t>
      </w:r>
    </w:p>
    <w:p>
      <w:pPr>
        <w:spacing w:after="0"/>
        <w:jc w:val="right"/>
        <w:rPr>
          <w:sz w:val="28"/>
        </w:rPr>
        <w:sectPr>
          <w:type w:val="continuous"/>
          <w:pgSz w:w="11910" w:h="16840"/>
          <w:pgMar w:top="1580" w:right="1300" w:bottom="280" w:left="1480" w:header="720" w:footer="720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15"/>
        </w:rPr>
      </w:pPr>
    </w:p>
    <w:p>
      <w:pPr>
        <w:pStyle w:val="2"/>
        <w:spacing w:before="54"/>
        <w:ind w:left="730"/>
      </w:pPr>
      <w:r>
        <w:rPr>
          <w:w w:val="95"/>
        </w:rPr>
        <w:t>领域方向：</w:t>
      </w:r>
    </w:p>
    <w:p>
      <w:pPr>
        <w:pStyle w:val="7"/>
        <w:numPr>
          <w:ilvl w:val="0"/>
          <w:numId w:val="1"/>
        </w:numPr>
        <w:tabs>
          <w:tab w:val="left" w:pos="1521"/>
        </w:tabs>
        <w:spacing w:before="171" w:after="0" w:line="340" w:lineRule="auto"/>
        <w:ind w:left="106" w:right="104" w:firstLine="624"/>
        <w:jc w:val="left"/>
        <w:rPr>
          <w:sz w:val="32"/>
        </w:rPr>
      </w:pPr>
      <w:r>
        <w:rPr>
          <w:spacing w:val="-12"/>
          <w:sz w:val="32"/>
        </w:rPr>
        <w:t>生物技术：中药新药创制、治疗罕见疾病的药物研发</w:t>
      </w:r>
      <w:r>
        <w:rPr>
          <w:sz w:val="32"/>
        </w:rPr>
        <w:t>、治疗老年退化性疾病的再生医药研发、组织干细胞分离和功能评价；</w:t>
      </w:r>
    </w:p>
    <w:p>
      <w:pPr>
        <w:pStyle w:val="7"/>
        <w:numPr>
          <w:ilvl w:val="0"/>
          <w:numId w:val="1"/>
        </w:numPr>
        <w:tabs>
          <w:tab w:val="left" w:pos="1521"/>
        </w:tabs>
        <w:spacing w:before="0" w:after="0" w:line="340" w:lineRule="auto"/>
        <w:ind w:left="106" w:right="255" w:firstLine="624"/>
        <w:jc w:val="left"/>
        <w:rPr>
          <w:sz w:val="32"/>
        </w:rPr>
      </w:pPr>
      <w:r>
        <w:rPr>
          <w:spacing w:val="-11"/>
          <w:sz w:val="32"/>
        </w:rPr>
        <w:t>人工智能：人工智能系统的安全性和隐私研究、类脑</w:t>
      </w:r>
      <w:r>
        <w:rPr>
          <w:spacing w:val="-10"/>
          <w:w w:val="99"/>
          <w:sz w:val="32"/>
        </w:rPr>
        <w:t>智能、智慧交通、智慧医疗</w:t>
      </w:r>
      <w:r>
        <w:rPr>
          <w:spacing w:val="-7"/>
          <w:w w:val="99"/>
          <w:sz w:val="32"/>
        </w:rPr>
        <w:t>（包括医疗机器人</w:t>
      </w:r>
      <w:r>
        <w:rPr>
          <w:spacing w:val="-163"/>
          <w:w w:val="99"/>
          <w:sz w:val="32"/>
        </w:rPr>
        <w:t>）</w:t>
      </w:r>
      <w:r>
        <w:rPr>
          <w:w w:val="99"/>
          <w:sz w:val="32"/>
        </w:rPr>
        <w:t>；</w:t>
      </w:r>
    </w:p>
    <w:p>
      <w:pPr>
        <w:pStyle w:val="7"/>
        <w:numPr>
          <w:ilvl w:val="0"/>
          <w:numId w:val="1"/>
        </w:numPr>
        <w:tabs>
          <w:tab w:val="left" w:pos="1521"/>
        </w:tabs>
        <w:spacing w:before="2" w:after="0" w:line="340" w:lineRule="auto"/>
        <w:ind w:left="106" w:right="255" w:firstLine="624"/>
        <w:jc w:val="left"/>
        <w:rPr>
          <w:sz w:val="32"/>
        </w:rPr>
      </w:pPr>
      <w:r>
        <w:rPr>
          <w:spacing w:val="-5"/>
          <w:sz w:val="32"/>
        </w:rPr>
        <w:t>新材料：光电子材料、第三代半导体技术、高安全高</w:t>
      </w:r>
      <w:r>
        <w:rPr>
          <w:sz w:val="32"/>
        </w:rPr>
        <w:t>能量密度电池材料、生物医用材料研发与应用。</w:t>
      </w:r>
    </w:p>
    <w:p>
      <w:pPr>
        <w:pStyle w:val="2"/>
        <w:spacing w:line="410" w:lineRule="exact"/>
        <w:ind w:left="730"/>
      </w:pPr>
      <w:r>
        <w:rPr>
          <w:spacing w:val="-7"/>
        </w:rPr>
        <w:t>拟支持项目数：</w:t>
      </w:r>
      <w:r>
        <w:rPr>
          <w:rFonts w:ascii="Times New Roman" w:eastAsia="Times New Roman"/>
          <w:spacing w:val="-6"/>
        </w:rPr>
        <w:t>25</w:t>
      </w:r>
      <w:r>
        <w:rPr>
          <w:rFonts w:ascii="Times New Roman" w:eastAsia="Times New Roman"/>
          <w:spacing w:val="-14"/>
        </w:rPr>
        <w:t xml:space="preserve"> </w:t>
      </w:r>
      <w:r>
        <w:rPr>
          <w:spacing w:val="-6"/>
        </w:rPr>
        <w:t>个左右。</w:t>
      </w:r>
    </w:p>
    <w:p>
      <w:pPr>
        <w:pStyle w:val="2"/>
        <w:spacing w:before="171" w:line="340" w:lineRule="auto"/>
        <w:ind w:left="730" w:right="3005"/>
      </w:pPr>
      <w:r>
        <w:rPr>
          <w:spacing w:val="-7"/>
        </w:rPr>
        <w:t>内地共拟支持经费：</w:t>
      </w:r>
      <w:r>
        <w:rPr>
          <w:rFonts w:ascii="Times New Roman" w:eastAsia="Times New Roman"/>
          <w:spacing w:val="-5"/>
        </w:rPr>
        <w:t>5000</w:t>
      </w:r>
      <w:r>
        <w:rPr>
          <w:rFonts w:ascii="Times New Roman" w:eastAsia="Times New Roman"/>
          <w:spacing w:val="-14"/>
        </w:rPr>
        <w:t xml:space="preserve"> </w:t>
      </w:r>
      <w:r>
        <w:rPr>
          <w:spacing w:val="-9"/>
        </w:rPr>
        <w:t>万元人民币。</w:t>
      </w:r>
      <w:r>
        <w:t>其他要求：</w:t>
      </w:r>
    </w:p>
    <w:p>
      <w:pPr>
        <w:pStyle w:val="7"/>
        <w:numPr>
          <w:ilvl w:val="0"/>
          <w:numId w:val="2"/>
        </w:numPr>
        <w:tabs>
          <w:tab w:val="left" w:pos="1533"/>
        </w:tabs>
        <w:spacing w:before="2" w:after="0" w:line="340" w:lineRule="auto"/>
        <w:ind w:left="106" w:right="255" w:firstLine="624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每个项目执行期为 </w:t>
      </w:r>
      <w:r>
        <w:rPr>
          <w:rFonts w:ascii="Times New Roman" w:eastAsia="Times New Roman"/>
          <w:w w:val="95"/>
          <w:sz w:val="32"/>
        </w:rPr>
        <w:t>2</w:t>
      </w:r>
      <w:r>
        <w:rPr>
          <w:rFonts w:ascii="Times New Roman" w:eastAsia="Times New Roman"/>
          <w:spacing w:val="76"/>
          <w:w w:val="95"/>
          <w:sz w:val="32"/>
        </w:rPr>
        <w:t xml:space="preserve"> </w:t>
      </w:r>
      <w:r>
        <w:rPr>
          <w:w w:val="95"/>
          <w:sz w:val="32"/>
        </w:rPr>
        <w:t>年。科技部与香港特别行政区政府创新科技署各自发布征集通知，双方合作单位应分别向各自征</w:t>
      </w:r>
      <w:r>
        <w:rPr>
          <w:sz w:val="32"/>
        </w:rPr>
        <w:t>集部门提交项目申请，单方提交的项目申报材料无效。</w:t>
      </w:r>
    </w:p>
    <w:p>
      <w:pPr>
        <w:pStyle w:val="7"/>
        <w:numPr>
          <w:ilvl w:val="0"/>
          <w:numId w:val="2"/>
        </w:numPr>
        <w:tabs>
          <w:tab w:val="left" w:pos="1521"/>
        </w:tabs>
        <w:spacing w:before="1" w:after="0" w:line="340" w:lineRule="auto"/>
        <w:ind w:left="106" w:right="255" w:firstLine="624"/>
        <w:jc w:val="both"/>
        <w:rPr>
          <w:sz w:val="32"/>
        </w:rPr>
      </w:pPr>
      <w:r>
        <w:rPr>
          <w:spacing w:val="-8"/>
          <w:sz w:val="32"/>
        </w:rPr>
        <w:t>双方对申报单位要求不同。香港主要申请机构必须为</w:t>
      </w:r>
      <w:r>
        <w:rPr>
          <w:w w:val="95"/>
          <w:sz w:val="32"/>
        </w:rPr>
        <w:t>研发中心或指定香港本地公营科研机构，具体要求参见香港特别</w:t>
      </w:r>
      <w:r>
        <w:rPr>
          <w:sz w:val="32"/>
        </w:rPr>
        <w:t>行政区政府创新科技署发布的征集通知。</w:t>
      </w:r>
    </w:p>
    <w:p>
      <w:pPr>
        <w:pStyle w:val="7"/>
        <w:numPr>
          <w:ilvl w:val="0"/>
          <w:numId w:val="2"/>
        </w:numPr>
        <w:tabs>
          <w:tab w:val="left" w:pos="1521"/>
        </w:tabs>
        <w:spacing w:before="0" w:after="0" w:line="340" w:lineRule="auto"/>
        <w:ind w:left="106" w:right="253" w:firstLine="624"/>
        <w:jc w:val="both"/>
        <w:rPr>
          <w:sz w:val="32"/>
        </w:rPr>
      </w:pPr>
      <w:r>
        <w:rPr>
          <w:spacing w:val="-7"/>
          <w:sz w:val="32"/>
        </w:rPr>
        <w:t>鼓励企业与科研单位联合申报。双方对企业参与要求</w:t>
      </w:r>
      <w:r>
        <w:rPr>
          <w:spacing w:val="1"/>
          <w:w w:val="95"/>
          <w:sz w:val="32"/>
        </w:rPr>
        <w:t xml:space="preserve">不同。内地申报单位中至少应有 </w:t>
      </w:r>
      <w:r>
        <w:rPr>
          <w:rFonts w:ascii="Times New Roman" w:eastAsia="Times New Roman"/>
          <w:w w:val="95"/>
          <w:sz w:val="32"/>
        </w:rPr>
        <w:t>1</w:t>
      </w:r>
      <w:r>
        <w:rPr>
          <w:rFonts w:ascii="Times New Roman" w:eastAsia="Times New Roman"/>
          <w:spacing w:val="30"/>
          <w:w w:val="95"/>
          <w:sz w:val="32"/>
        </w:rPr>
        <w:t xml:space="preserve"> </w:t>
      </w:r>
      <w:r>
        <w:rPr>
          <w:w w:val="95"/>
          <w:sz w:val="32"/>
        </w:rPr>
        <w:t>家企业，且企业应提供不低于</w:t>
      </w:r>
      <w:r>
        <w:rPr>
          <w:spacing w:val="11"/>
          <w:w w:val="95"/>
          <w:sz w:val="32"/>
        </w:rPr>
        <w:t xml:space="preserve">项目国拨经费 </w:t>
      </w:r>
      <w:r>
        <w:rPr>
          <w:rFonts w:ascii="Times New Roman" w:eastAsia="Times New Roman"/>
          <w:w w:val="95"/>
          <w:sz w:val="32"/>
        </w:rPr>
        <w:t>10%</w:t>
      </w:r>
      <w:r>
        <w:rPr>
          <w:w w:val="95"/>
          <w:sz w:val="32"/>
        </w:rPr>
        <w:t>的配套经费用于内地研发。如内地企业独立牵</w:t>
      </w:r>
      <w:r>
        <w:rPr>
          <w:spacing w:val="1"/>
          <w:w w:val="95"/>
          <w:sz w:val="32"/>
        </w:rPr>
        <w:t xml:space="preserve">头申报，则企业配套经费与项目国拨经费比例不低于 </w:t>
      </w:r>
      <w:r>
        <w:rPr>
          <w:rFonts w:ascii="Times New Roman" w:eastAsia="Times New Roman"/>
          <w:w w:val="95"/>
          <w:sz w:val="32"/>
        </w:rPr>
        <w:t>1:1</w:t>
      </w:r>
      <w:r>
        <w:rPr>
          <w:rFonts w:ascii="Times New Roman" w:eastAsia="Times New Roman"/>
          <w:spacing w:val="46"/>
          <w:w w:val="95"/>
          <w:sz w:val="32"/>
        </w:rPr>
        <w:t xml:space="preserve"> </w:t>
      </w:r>
      <w:r>
        <w:rPr>
          <w:w w:val="95"/>
          <w:sz w:val="32"/>
        </w:rPr>
        <w:t>用于内</w:t>
      </w:r>
      <w:r>
        <w:rPr>
          <w:spacing w:val="-10"/>
          <w:w w:val="95"/>
          <w:sz w:val="32"/>
        </w:rPr>
        <w:t>地研发。香港方对企业赞助</w:t>
      </w:r>
      <w:r>
        <w:rPr>
          <w:rFonts w:ascii="Times New Roman" w:eastAsia="Times New Roman"/>
          <w:w w:val="95"/>
          <w:sz w:val="32"/>
        </w:rPr>
        <w:t>/</w:t>
      </w:r>
      <w:r>
        <w:rPr>
          <w:w w:val="95"/>
          <w:sz w:val="32"/>
        </w:rPr>
        <w:t>承担港方项目成本的具体要求参见香</w:t>
      </w:r>
      <w:r>
        <w:rPr>
          <w:sz w:val="32"/>
        </w:rPr>
        <w:t>港</w:t>
      </w:r>
    </w:p>
    <w:p>
      <w:pPr>
        <w:spacing w:before="148"/>
        <w:ind w:left="428" w:right="0" w:firstLine="0"/>
        <w:jc w:val="left"/>
        <w:rPr>
          <w:sz w:val="28"/>
        </w:rPr>
      </w:pP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pacing w:val="68"/>
          <w:sz w:val="28"/>
        </w:rPr>
        <w:t xml:space="preserve"> </w:t>
      </w:r>
      <w:r>
        <w:rPr>
          <w:sz w:val="28"/>
        </w:rPr>
        <w:t>—</w:t>
      </w:r>
    </w:p>
    <w:p>
      <w:pPr>
        <w:spacing w:after="0"/>
        <w:jc w:val="left"/>
        <w:rPr>
          <w:sz w:val="28"/>
        </w:rPr>
        <w:sectPr>
          <w:pgSz w:w="11910" w:h="16840"/>
          <w:pgMar w:top="1580" w:right="1300" w:bottom="280" w:left="1480" w:header="720" w:footer="720" w:gutter="0"/>
          <w:cols w:space="720" w:num="1"/>
        </w:sectPr>
      </w:pPr>
    </w:p>
    <w:p>
      <w:pPr>
        <w:pStyle w:val="2"/>
        <w:rPr>
          <w:sz w:val="20"/>
        </w:rPr>
      </w:pPr>
    </w:p>
    <w:p>
      <w:pPr>
        <w:pStyle w:val="2"/>
        <w:spacing w:before="2"/>
        <w:rPr>
          <w:sz w:val="15"/>
        </w:rPr>
      </w:pPr>
    </w:p>
    <w:p>
      <w:pPr>
        <w:pStyle w:val="2"/>
        <w:spacing w:before="54"/>
        <w:ind w:left="106"/>
      </w:pPr>
      <w:r>
        <w:rPr>
          <w:w w:val="95"/>
        </w:rPr>
        <w:t>特别行政区政府创新科技署发布的征集通知。</w:t>
      </w:r>
    </w:p>
    <w:p>
      <w:pPr>
        <w:pStyle w:val="7"/>
        <w:numPr>
          <w:ilvl w:val="0"/>
          <w:numId w:val="2"/>
        </w:numPr>
        <w:tabs>
          <w:tab w:val="left" w:pos="1526"/>
        </w:tabs>
        <w:spacing w:before="171" w:after="0" w:line="340" w:lineRule="auto"/>
        <w:ind w:left="106" w:right="257" w:firstLine="624"/>
        <w:jc w:val="both"/>
        <w:rPr>
          <w:sz w:val="32"/>
        </w:rPr>
      </w:pPr>
      <w:r>
        <w:rPr>
          <w:w w:val="95"/>
          <w:sz w:val="32"/>
        </w:rPr>
        <w:t>双方项目申报书的项目名称、合作单位、项目负责人</w:t>
      </w:r>
      <w:r>
        <w:rPr>
          <w:spacing w:val="1"/>
          <w:w w:val="95"/>
          <w:sz w:val="32"/>
        </w:rPr>
        <w:t xml:space="preserve"> </w:t>
      </w:r>
      <w:r>
        <w:rPr>
          <w:spacing w:val="-8"/>
          <w:w w:val="95"/>
          <w:sz w:val="32"/>
        </w:rPr>
        <w:t>和项目执行年限等信息必须一致。项目申报单位应就该项目已经</w:t>
      </w:r>
      <w:r>
        <w:rPr>
          <w:spacing w:val="1"/>
          <w:w w:val="95"/>
          <w:sz w:val="32"/>
        </w:rPr>
        <w:t xml:space="preserve"> </w:t>
      </w:r>
      <w:r>
        <w:rPr>
          <w:spacing w:val="-8"/>
          <w:w w:val="95"/>
          <w:sz w:val="32"/>
        </w:rPr>
        <w:t>与合作伙伴具有良好的合作基础。双方合作团队均需具备一定的</w:t>
      </w:r>
      <w:r>
        <w:rPr>
          <w:spacing w:val="1"/>
          <w:w w:val="95"/>
          <w:sz w:val="32"/>
        </w:rPr>
        <w:t xml:space="preserve"> </w:t>
      </w:r>
      <w:r>
        <w:rPr>
          <w:w w:val="95"/>
          <w:sz w:val="32"/>
        </w:rPr>
        <w:t>技术优势，并且分工明确，共同实现相关技术的开发。有多家单位参与申报的项目，各单位应有明确的研发任务。具有专利、技</w:t>
      </w:r>
      <w:r>
        <w:rPr>
          <w:spacing w:val="-9"/>
          <w:w w:val="95"/>
          <w:sz w:val="32"/>
        </w:rPr>
        <w:t>术标准等科技合作产出；合作过程中应明确交流互访、联合学生</w:t>
      </w:r>
      <w:r>
        <w:rPr>
          <w:spacing w:val="1"/>
          <w:w w:val="95"/>
          <w:sz w:val="32"/>
        </w:rPr>
        <w:t xml:space="preserve"> </w:t>
      </w:r>
      <w:r>
        <w:rPr>
          <w:spacing w:val="-12"/>
          <w:w w:val="95"/>
          <w:sz w:val="32"/>
        </w:rPr>
        <w:t>培养等任务；经费预算合理；项目实施后形成一定的经济和社会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效益。</w:t>
      </w:r>
    </w:p>
    <w:p>
      <w:pPr>
        <w:pStyle w:val="7"/>
        <w:numPr>
          <w:ilvl w:val="0"/>
          <w:numId w:val="2"/>
        </w:numPr>
        <w:tabs>
          <w:tab w:val="left" w:pos="1521"/>
        </w:tabs>
        <w:spacing w:before="0" w:after="0" w:line="340" w:lineRule="auto"/>
        <w:ind w:left="106" w:right="255" w:firstLine="624"/>
        <w:jc w:val="left"/>
        <w:rPr>
          <w:sz w:val="32"/>
        </w:rPr>
      </w:pPr>
      <w:r>
        <w:rPr>
          <w:spacing w:val="-6"/>
          <w:sz w:val="32"/>
        </w:rPr>
        <w:t>合作双方已经签署合作协议或意向书，其中须包括知</w:t>
      </w:r>
      <w:r>
        <w:rPr>
          <w:sz w:val="32"/>
        </w:rPr>
        <w:t>识产权专门条款。</w:t>
      </w:r>
    </w:p>
    <w:p>
      <w:pPr>
        <w:pStyle w:val="7"/>
        <w:numPr>
          <w:ilvl w:val="0"/>
          <w:numId w:val="2"/>
        </w:numPr>
        <w:tabs>
          <w:tab w:val="left" w:pos="1533"/>
        </w:tabs>
        <w:spacing w:before="2" w:after="0" w:line="340" w:lineRule="auto"/>
        <w:ind w:left="106" w:right="255" w:firstLine="624"/>
        <w:jc w:val="left"/>
        <w:rPr>
          <w:sz w:val="32"/>
        </w:rPr>
      </w:pPr>
      <w:r>
        <w:rPr>
          <w:w w:val="95"/>
          <w:sz w:val="32"/>
        </w:rPr>
        <w:t>由香港地区科研单位在内地创办或者参与创办的分支</w:t>
      </w:r>
      <w:r>
        <w:rPr>
          <w:spacing w:val="1"/>
          <w:w w:val="95"/>
          <w:sz w:val="32"/>
        </w:rPr>
        <w:t xml:space="preserve"> </w:t>
      </w:r>
      <w:r>
        <w:rPr>
          <w:sz w:val="32"/>
        </w:rPr>
        <w:t>机构，不得与创办单位合作申报本项目。</w:t>
      </w:r>
    </w:p>
    <w:p>
      <w:pPr>
        <w:pStyle w:val="7"/>
        <w:numPr>
          <w:ilvl w:val="0"/>
          <w:numId w:val="2"/>
        </w:numPr>
        <w:tabs>
          <w:tab w:val="left" w:pos="1521"/>
        </w:tabs>
        <w:spacing w:before="0" w:after="0" w:line="340" w:lineRule="auto"/>
        <w:ind w:left="106" w:right="255" w:firstLine="624"/>
        <w:jc w:val="left"/>
        <w:rPr>
          <w:sz w:val="32"/>
        </w:rPr>
      </w:pPr>
      <w:r>
        <w:rPr>
          <w:spacing w:val="-9"/>
          <w:sz w:val="32"/>
        </w:rPr>
        <w:t>在提交项目申报材料时，申报单位须同时提交香港合</w:t>
      </w:r>
      <w:r>
        <w:rPr>
          <w:sz w:val="32"/>
        </w:rPr>
        <w:t>作单位送交香港特别行政区政府创新科技署的申请表格。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"/>
        <w:rPr>
          <w:sz w:val="24"/>
        </w:rPr>
      </w:pPr>
    </w:p>
    <w:p>
      <w:pPr>
        <w:spacing w:before="73"/>
        <w:ind w:left="0" w:right="604" w:firstLine="0"/>
        <w:jc w:val="right"/>
        <w:rPr>
          <w:sz w:val="28"/>
        </w:rPr>
      </w:pP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sz w:val="28"/>
        </w:rPr>
        <w:t>—</w:t>
      </w:r>
    </w:p>
    <w:sectPr>
      <w:pgSz w:w="11910" w:h="16840"/>
      <w:pgMar w:top="1580" w:right="130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icrosoft YaHei UI">
    <w:altName w:val="ksdb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（%1）"/>
      <w:lvlJc w:val="left"/>
      <w:pPr>
        <w:ind w:left="106" w:hanging="803"/>
        <w:jc w:val="left"/>
      </w:pPr>
      <w:rPr>
        <w:rFonts w:hint="default" w:ascii="宋体" w:hAnsi="宋体" w:eastAsia="宋体" w:cs="宋体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02" w:hanging="80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05" w:hanging="80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07" w:hanging="80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10" w:hanging="80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613" w:hanging="80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515" w:hanging="80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418" w:hanging="80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320" w:hanging="803"/>
      </w:pPr>
      <w:rPr>
        <w:rFonts w:hint="default"/>
        <w:lang w:val="en-US" w:eastAsia="zh-CN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（%1）"/>
      <w:lvlJc w:val="left"/>
      <w:pPr>
        <w:ind w:left="106" w:hanging="791"/>
        <w:jc w:val="left"/>
      </w:pPr>
      <w:rPr>
        <w:rFonts w:hint="default" w:ascii="宋体" w:hAnsi="宋体" w:eastAsia="宋体" w:cs="宋体"/>
        <w:spacing w:val="-70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002" w:hanging="79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1905" w:hanging="79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807" w:hanging="79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710" w:hanging="79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613" w:hanging="79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515" w:hanging="79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418" w:hanging="79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320" w:hanging="791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TJjNGM0NzM2ODZjMzhkNjBiZDFlN2FiZTkzMTE4NjQifQ=="/>
  </w:docVars>
  <w:rsids>
    <w:rsidRoot w:val="00000000"/>
    <w:rsid w:val="10DF3C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3">
    <w:name w:val="Title"/>
    <w:basedOn w:val="1"/>
    <w:qFormat/>
    <w:uiPriority w:val="1"/>
    <w:pPr>
      <w:spacing w:line="613" w:lineRule="exact"/>
      <w:ind w:right="177"/>
      <w:jc w:val="center"/>
    </w:pPr>
    <w:rPr>
      <w:rFonts w:ascii="Microsoft YaHei UI" w:hAnsi="Microsoft YaHei UI" w:eastAsia="Microsoft YaHei UI" w:cs="Microsoft YaHei UI"/>
      <w:b/>
      <w:bCs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06" w:right="255" w:firstLine="624"/>
    </w:pPr>
    <w:rPr>
      <w:rFonts w:ascii="宋体" w:hAnsi="宋体" w:eastAsia="宋体" w:cs="宋体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1163</Words>
  <Characters>1188</Characters>
  <TotalTime>0</TotalTime>
  <ScaleCrop>false</ScaleCrop>
  <LinksUpToDate>false</LinksUpToDate>
  <CharactersWithSpaces>1237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2023-04-17T01:53:00Z</dcterms:created>
  <dc:creator>bgt_liujing</dc:creator>
  <cp:lastModifiedBy>Administrator</cp:lastModifiedBy>
  <dcterms:modified xsi:type="dcterms:W3CDTF">2023-04-17T03:37:59Z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2023-04-17T00:00:00Z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7869EED04F1A425E9AC329983EB39119_12</vt:lpwstr>
  </property>
</Properties>
</file>