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Times New Roman" w:eastAsia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</w:t>
      </w: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年电子商务创新发展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扶持计划</w:t>
      </w:r>
      <w:r>
        <w:rPr>
          <w:rFonts w:hint="eastAsia" w:ascii="方正小标宋简体" w:hAnsi="Times New Roman" w:eastAsia="方正小标宋简体"/>
          <w:b w:val="0"/>
          <w:bCs w:val="0"/>
          <w:color w:val="auto"/>
          <w:sz w:val="44"/>
          <w:szCs w:val="44"/>
          <w:lang w:eastAsia="zh-CN"/>
        </w:rPr>
        <w:t>电子商务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/>
          <w:b w:val="0"/>
          <w:bCs w:val="0"/>
          <w:color w:val="auto"/>
          <w:sz w:val="44"/>
          <w:szCs w:val="44"/>
          <w:lang w:eastAsia="zh-CN"/>
        </w:rPr>
        <w:t>平台培育项目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拟资助</w:t>
      </w: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（奖励、贴息）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公示表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</w:p>
    <w:tbl>
      <w:tblPr>
        <w:tblStyle w:val="2"/>
        <w:tblW w:w="8450" w:type="dxa"/>
        <w:tblInd w:w="24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2202"/>
        <w:gridCol w:w="3600"/>
        <w:gridCol w:w="203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申报单位名称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具体项目名称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  <w:t>拟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  <w:t>资助</w:t>
            </w: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  <w:t>（奖励、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  <w:t>贴息）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  <w:t>金额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color w:val="auto"/>
                <w:sz w:val="24"/>
                <w:szCs w:val="24"/>
                <w:u w:val="none"/>
                <w:lang w:eastAsia="zh-CN"/>
              </w:rPr>
              <w:t>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2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深圳市天行云供应链有限公司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天行云电子商务平台培育融资奖励项目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2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天行云电子商务平台培育贷款贴息项目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2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行云定价分析决策中台系统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深圳市中农网有限公司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中农网办公用房扶持项目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中农网电子商务平台培育贷款贴息项目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深圳依时货拉拉科技有限公司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货拉拉科技融资奖励项目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货拉拉科技办公用房扶持项目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货拉拉智慧供需匹配的计价策略分析新技术、新模式应用项目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201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迪阿股份有限公司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迪阿股份新型电子商业模式（唯爱购、小程序开发+数据埋点技术精准网络推广+直播引流）新技术新模式应用项目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201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79CC8"/>
    <w:rsid w:val="7F779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2023-04-20T15:10:00Z</dcterms:created>
  <dc:creator>网站运维(陈梓标)</dc:creator>
  <cp:lastModifiedBy>网站运维(陈梓标)</cp:lastModifiedBy>
  <dcterms:modified xsi:type="dcterms:W3CDTF">2023-04-20T15:11:12Z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