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adjustRightInd/>
        <w:snapToGrid/>
        <w:spacing w:line="560" w:lineRule="exact"/>
        <w:contextualSpacing/>
        <w:jc w:val="center"/>
        <w:textAlignment w:val="auto"/>
        <w:rPr>
          <w:rFonts w:hint="eastAsia" w:ascii="方正小标宋_GBK" w:hAnsi="方正小标宋_GBK" w:eastAsia="方正小标宋_GBK" w:cs="方正小标宋_GBK"/>
          <w:b w:val="0"/>
          <w:bCs/>
          <w:kern w:val="0"/>
          <w:sz w:val="44"/>
          <w:szCs w:val="44"/>
        </w:rPr>
      </w:pPr>
      <w:bookmarkStart w:id="0" w:name="_Hlk97670516"/>
      <w:r>
        <w:rPr>
          <w:rFonts w:hint="eastAsia" w:ascii="方正小标宋_GBK" w:hAnsi="方正小标宋_GBK" w:eastAsia="方正小标宋_GBK" w:cs="方正小标宋_GBK"/>
          <w:b w:val="0"/>
          <w:bCs/>
          <w:color w:val="auto"/>
          <w:sz w:val="44"/>
          <w:szCs w:val="44"/>
          <w:highlight w:val="none"/>
        </w:rPr>
        <w:t>南山区促进产业高质量发展专项资金</w:t>
      </w:r>
      <w:r>
        <w:rPr>
          <w:rFonts w:hint="eastAsia" w:ascii="方正小标宋_GBK" w:hAnsi="方正小标宋_GBK" w:eastAsia="方正小标宋_GBK" w:cs="方正小标宋_GBK"/>
          <w:b w:val="0"/>
          <w:bCs/>
          <w:sz w:val="44"/>
          <w:szCs w:val="44"/>
        </w:rPr>
        <w:t>——</w:t>
      </w:r>
    </w:p>
    <w:p>
      <w:pPr>
        <w:keepNext w:val="0"/>
        <w:keepLines w:val="0"/>
        <w:pageBreakBefore w:val="0"/>
        <w:kinsoku/>
        <w:topLinePunct w:val="0"/>
        <w:autoSpaceDE/>
        <w:autoSpaceDN/>
        <w:bidi w:val="0"/>
        <w:adjustRightInd/>
        <w:snapToGrid/>
        <w:spacing w:line="560" w:lineRule="exact"/>
        <w:contextualSpacing/>
        <w:jc w:val="center"/>
        <w:textAlignment w:val="auto"/>
        <w:rPr>
          <w:rFonts w:hint="eastAsia" w:ascii="方正小标宋_GBK" w:hAnsi="方正小标宋_GBK" w:eastAsia="方正小标宋_GBK" w:cs="方正小标宋_GBK"/>
          <w:b w:val="0"/>
          <w:bCs/>
          <w:color w:val="auto"/>
          <w:sz w:val="44"/>
          <w:szCs w:val="44"/>
          <w:highlight w:val="none"/>
          <w:lang w:eastAsia="zh-CN"/>
        </w:rPr>
      </w:pPr>
      <w:r>
        <w:rPr>
          <w:rFonts w:hint="default" w:ascii="方正小标宋_GBK" w:hAnsi="方正小标宋_GBK" w:eastAsia="方正小标宋_GBK" w:cs="方正小标宋_GBK"/>
          <w:b w:val="0"/>
          <w:bCs/>
          <w:color w:val="auto"/>
          <w:sz w:val="44"/>
          <w:szCs w:val="44"/>
          <w:highlight w:val="none"/>
        </w:rPr>
        <w:t>区</w:t>
      </w:r>
      <w:r>
        <w:rPr>
          <w:rFonts w:hint="eastAsia" w:ascii="方正小标宋_GBK" w:hAnsi="方正小标宋_GBK" w:eastAsia="方正小标宋_GBK" w:cs="方正小标宋_GBK"/>
          <w:b w:val="0"/>
          <w:bCs/>
          <w:color w:val="auto"/>
          <w:sz w:val="44"/>
          <w:szCs w:val="44"/>
          <w:highlight w:val="none"/>
        </w:rPr>
        <w:t>科技创新</w:t>
      </w:r>
      <w:r>
        <w:rPr>
          <w:rFonts w:hint="default" w:ascii="方正小标宋_GBK" w:hAnsi="方正小标宋_GBK" w:eastAsia="方正小标宋_GBK" w:cs="方正小标宋_GBK"/>
          <w:b w:val="0"/>
          <w:bCs/>
          <w:color w:val="auto"/>
          <w:sz w:val="44"/>
          <w:szCs w:val="44"/>
          <w:highlight w:val="none"/>
        </w:rPr>
        <w:t>局</w:t>
      </w:r>
      <w:r>
        <w:rPr>
          <w:rFonts w:hint="eastAsia" w:ascii="方正小标宋_GBK" w:hAnsi="方正小标宋_GBK" w:eastAsia="方正小标宋_GBK" w:cs="方正小标宋_GBK"/>
          <w:b w:val="0"/>
          <w:bCs/>
          <w:color w:val="auto"/>
          <w:sz w:val="44"/>
          <w:szCs w:val="44"/>
          <w:highlight w:val="none"/>
          <w:lang w:eastAsia="zh-CN"/>
        </w:rPr>
        <w:t>分</w:t>
      </w:r>
      <w:r>
        <w:rPr>
          <w:rFonts w:hint="eastAsia" w:ascii="方正小标宋_GBK" w:hAnsi="方正小标宋_GBK" w:eastAsia="方正小标宋_GBK" w:cs="方正小标宋_GBK"/>
          <w:b w:val="0"/>
          <w:bCs/>
          <w:color w:val="auto"/>
          <w:sz w:val="44"/>
          <w:szCs w:val="44"/>
          <w:highlight w:val="none"/>
        </w:rPr>
        <w:t>项</w:t>
      </w:r>
      <w:r>
        <w:rPr>
          <w:rFonts w:hint="eastAsia" w:ascii="方正小标宋_GBK" w:hAnsi="方正小标宋_GBK" w:eastAsia="方正小标宋_GBK" w:cs="方正小标宋_GBK"/>
          <w:b w:val="0"/>
          <w:bCs/>
          <w:sz w:val="44"/>
          <w:szCs w:val="44"/>
        </w:rPr>
        <w:t>资</w:t>
      </w:r>
      <w:r>
        <w:rPr>
          <w:rFonts w:hint="eastAsia" w:ascii="方正小标宋_GBK" w:hAnsi="方正小标宋_GBK" w:eastAsia="方正小标宋_GBK" w:cs="方正小标宋_GBK"/>
          <w:b w:val="0"/>
          <w:bCs/>
          <w:color w:val="auto"/>
          <w:sz w:val="44"/>
          <w:szCs w:val="44"/>
          <w:highlight w:val="none"/>
        </w:rPr>
        <w:t>金</w:t>
      </w:r>
      <w:bookmarkEnd w:id="0"/>
      <w:r>
        <w:rPr>
          <w:rFonts w:hint="eastAsia" w:ascii="方正小标宋_GBK" w:hAnsi="方正小标宋_GBK" w:eastAsia="方正小标宋_GBK" w:cs="方正小标宋_GBK"/>
          <w:b w:val="0"/>
          <w:bCs/>
          <w:color w:val="auto"/>
          <w:sz w:val="44"/>
          <w:szCs w:val="44"/>
          <w:highlight w:val="none"/>
          <w:lang w:eastAsia="zh-CN"/>
        </w:rPr>
        <w:t>高成长性</w:t>
      </w:r>
    </w:p>
    <w:p>
      <w:pPr>
        <w:keepNext w:val="0"/>
        <w:keepLines w:val="0"/>
        <w:pageBreakBefore w:val="0"/>
        <w:kinsoku/>
        <w:topLinePunct w:val="0"/>
        <w:autoSpaceDE/>
        <w:autoSpaceDN/>
        <w:bidi w:val="0"/>
        <w:adjustRightInd/>
        <w:snapToGrid/>
        <w:spacing w:line="560" w:lineRule="exact"/>
        <w:contextualSpacing/>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lang w:eastAsia="zh-CN"/>
        </w:rPr>
        <w:t>国高</w:t>
      </w:r>
      <w:r>
        <w:rPr>
          <w:rFonts w:hint="eastAsia" w:ascii="方正小标宋_GBK" w:hAnsi="方正小标宋_GBK" w:eastAsia="方正小标宋_GBK" w:cs="方正小标宋_GBK"/>
          <w:b w:val="0"/>
          <w:bCs/>
          <w:color w:val="auto"/>
          <w:sz w:val="44"/>
          <w:szCs w:val="44"/>
          <w:highlight w:val="none"/>
        </w:rPr>
        <w:t>支持计划操作规程</w:t>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方正小标宋_GBK" w:hAnsi="方正小标宋_GBK" w:eastAsia="方正小标宋_GBK" w:cs="方正小标宋_GBK"/>
          <w:b w:val="0"/>
          <w:bCs/>
          <w:color w:val="auto"/>
          <w:sz w:val="44"/>
          <w:szCs w:val="44"/>
          <w:highlight w:val="none"/>
        </w:rPr>
      </w:pP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keepNext w:val="0"/>
        <w:keepLines w:val="0"/>
        <w:pageBreakBefore w:val="0"/>
        <w:kinsoku/>
        <w:topLinePunct w:val="0"/>
        <w:autoSpaceDE/>
        <w:autoSpaceDN/>
        <w:bidi w:val="0"/>
        <w:adjustRightInd/>
        <w:snapToGrid/>
        <w:spacing w:line="560" w:lineRule="exact"/>
        <w:ind w:firstLine="622" w:firstLineChars="200"/>
        <w:jc w:val="left"/>
        <w:textAlignment w:val="auto"/>
        <w:rPr>
          <w:rFonts w:hint="eastAsia" w:ascii="仿宋_GB2312" w:eastAsia="仿宋_GB2312"/>
          <w:sz w:val="32"/>
          <w:szCs w:val="32"/>
        </w:rPr>
      </w:pPr>
      <w:bookmarkStart w:id="1" w:name="_Hlk104114473"/>
      <w:r>
        <w:rPr>
          <w:rFonts w:hint="eastAsia" w:ascii="仿宋_GB2312" w:eastAsia="仿宋_GB2312"/>
          <w:sz w:val="32"/>
          <w:szCs w:val="32"/>
        </w:rPr>
        <w:t>对上一年度认定通过且营业收入不低于1000万元的国家高新技术企业，上一年度营业收入增长率不低于20%、研发投入占营业收入比例不低于5%的，每家一次性奖励最高100万元</w:t>
      </w:r>
      <w:bookmarkEnd w:id="1"/>
      <w:r>
        <w:rPr>
          <w:rFonts w:hint="eastAsia" w:ascii="仿宋_GB2312" w:eastAsia="仿宋_GB2312"/>
          <w:sz w:val="32"/>
          <w:szCs w:val="32"/>
        </w:rPr>
        <w:t>。</w:t>
      </w: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二、资助标准</w:t>
      </w:r>
    </w:p>
    <w:p>
      <w:pPr>
        <w:keepNext w:val="0"/>
        <w:keepLines w:val="0"/>
        <w:pageBreakBefore w:val="0"/>
        <w:numPr>
          <w:ilvl w:val="-1"/>
          <w:numId w:val="0"/>
        </w:numPr>
        <w:kinsoku/>
        <w:topLinePunct w:val="0"/>
        <w:autoSpaceDE/>
        <w:autoSpaceDN/>
        <w:bidi w:val="0"/>
        <w:adjustRightInd/>
        <w:snapToGrid/>
        <w:spacing w:line="560" w:lineRule="exact"/>
        <w:ind w:firstLine="622" w:firstLineChars="200"/>
        <w:textAlignment w:val="auto"/>
        <w:rPr>
          <w:rFonts w:hint="default" w:ascii="仿宋_GB2312" w:eastAsia="仿宋_GB2312"/>
          <w:color w:val="auto"/>
          <w:sz w:val="32"/>
          <w:szCs w:val="32"/>
        </w:rPr>
      </w:pPr>
      <w:r>
        <w:rPr>
          <w:rFonts w:hint="default" w:ascii="仿宋_GB2312" w:eastAsia="仿宋_GB2312"/>
          <w:color w:val="auto"/>
          <w:sz w:val="32"/>
          <w:szCs w:val="32"/>
        </w:rPr>
        <w:t>对上一年度认定通过且营业收入不低于1000万元的国家高新技术企业，根据上一年度企业营收增长率、研发投入比例数据给予综合考核，并根据考核结果分档次给予相应资助，每家最高资助100万元。资助标准如下：</w:t>
      </w:r>
    </w:p>
    <w:p>
      <w:pPr>
        <w:keepNext w:val="0"/>
        <w:keepLines w:val="0"/>
        <w:pageBreakBefore w:val="0"/>
        <w:numPr>
          <w:ilvl w:val="-1"/>
          <w:numId w:val="0"/>
        </w:numPr>
        <w:kinsoku/>
        <w:topLinePunct w:val="0"/>
        <w:autoSpaceDE/>
        <w:autoSpaceDN/>
        <w:bidi w:val="0"/>
        <w:adjustRightInd/>
        <w:snapToGrid/>
        <w:spacing w:line="560" w:lineRule="exact"/>
        <w:ind w:firstLine="622" w:firstLineChars="200"/>
        <w:jc w:val="center"/>
        <w:textAlignment w:val="auto"/>
        <w:rPr>
          <w:rFonts w:hint="default" w:ascii="仿宋_GB2312" w:eastAsia="仿宋_GB2312"/>
          <w:color w:val="auto"/>
          <w:sz w:val="24"/>
          <w:szCs w:val="24"/>
          <w:highlight w:val="yellow"/>
        </w:rPr>
      </w:pPr>
      <w:r>
        <w:rPr>
          <w:rFonts w:hint="default" w:ascii="仿宋_GB2312" w:eastAsia="仿宋_GB2312"/>
          <w:b/>
          <w:bCs/>
          <w:color w:val="auto"/>
          <w:sz w:val="32"/>
          <w:szCs w:val="32"/>
          <w:highlight w:val="none"/>
        </w:rPr>
        <w:t>高成长</w:t>
      </w:r>
      <w:r>
        <w:rPr>
          <w:rFonts w:hint="eastAsia" w:ascii="仿宋_GB2312" w:eastAsia="仿宋_GB2312"/>
          <w:b/>
          <w:bCs/>
          <w:color w:val="auto"/>
          <w:sz w:val="32"/>
          <w:szCs w:val="32"/>
          <w:highlight w:val="none"/>
          <w:lang w:eastAsia="zh-CN"/>
        </w:rPr>
        <w:t>国高</w:t>
      </w:r>
      <w:bookmarkStart w:id="5" w:name="_GoBack"/>
      <w:bookmarkEnd w:id="5"/>
      <w:r>
        <w:rPr>
          <w:rFonts w:hint="default" w:ascii="仿宋_GB2312" w:eastAsia="仿宋_GB2312"/>
          <w:b/>
          <w:bCs/>
          <w:color w:val="auto"/>
          <w:sz w:val="32"/>
          <w:szCs w:val="32"/>
          <w:highlight w:val="none"/>
        </w:rPr>
        <w:t>企业分档次资助情况表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1723"/>
        <w:gridCol w:w="1935"/>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jc w:val="center"/>
              <w:textAlignment w:val="auto"/>
              <w:rPr>
                <w:rFonts w:hint="default" w:ascii="仿宋_GB2312" w:eastAsia="仿宋_GB2312"/>
                <w:color w:val="auto"/>
                <w:sz w:val="28"/>
                <w:szCs w:val="28"/>
                <w:vertAlign w:val="baseline"/>
              </w:rPr>
            </w:pPr>
            <w:r>
              <w:rPr>
                <w:rFonts w:hint="default" w:ascii="仿宋_GB2312" w:eastAsia="仿宋_GB2312"/>
                <w:color w:val="auto"/>
                <w:sz w:val="28"/>
                <w:szCs w:val="28"/>
                <w:vertAlign w:val="baseline"/>
              </w:rPr>
              <w:t>上年度营收             （万元，用X表示）</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jc w:val="center"/>
              <w:textAlignment w:val="auto"/>
              <w:rPr>
                <w:rFonts w:hint="default" w:ascii="仿宋_GB2312" w:eastAsia="仿宋_GB2312"/>
                <w:color w:val="auto"/>
                <w:sz w:val="28"/>
                <w:szCs w:val="28"/>
                <w:vertAlign w:val="baseline"/>
              </w:rPr>
            </w:pPr>
            <w:r>
              <w:rPr>
                <w:rFonts w:hint="default" w:ascii="仿宋_GB2312" w:eastAsia="仿宋_GB2312"/>
                <w:color w:val="auto"/>
                <w:sz w:val="28"/>
                <w:szCs w:val="28"/>
                <w:vertAlign w:val="baseline"/>
              </w:rPr>
              <w:t>上年度        营收增速</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jc w:val="center"/>
              <w:textAlignment w:val="auto"/>
              <w:rPr>
                <w:rFonts w:hint="default" w:ascii="仿宋_GB2312" w:eastAsia="仿宋_GB2312"/>
                <w:color w:val="auto"/>
                <w:sz w:val="28"/>
                <w:szCs w:val="28"/>
                <w:vertAlign w:val="baseline"/>
              </w:rPr>
            </w:pPr>
            <w:r>
              <w:rPr>
                <w:rFonts w:hint="default" w:ascii="仿宋_GB2312" w:eastAsia="仿宋_GB2312"/>
                <w:color w:val="auto"/>
                <w:sz w:val="28"/>
                <w:szCs w:val="28"/>
                <w:vertAlign w:val="baseline"/>
              </w:rPr>
              <w:t>研发占比     （用Y表示）</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jc w:val="center"/>
              <w:textAlignment w:val="auto"/>
              <w:rPr>
                <w:rFonts w:hint="default" w:ascii="仿宋_GB2312" w:eastAsia="仿宋_GB2312"/>
                <w:color w:val="auto"/>
                <w:sz w:val="28"/>
                <w:szCs w:val="28"/>
                <w:vertAlign w:val="baseline"/>
              </w:rPr>
            </w:pPr>
            <w:r>
              <w:rPr>
                <w:rFonts w:hint="default" w:ascii="仿宋_GB2312" w:eastAsia="仿宋_GB2312"/>
                <w:color w:val="auto"/>
                <w:sz w:val="28"/>
                <w:szCs w:val="28"/>
                <w:vertAlign w:val="baseline"/>
              </w:rPr>
              <w:t>资助金额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eastAsia="zh-CN" w:bidi="ar-SA"/>
              </w:rPr>
            </w:pPr>
            <w:r>
              <w:rPr>
                <w:rFonts w:hint="eastAsia" w:ascii="仿宋_GB2312" w:hAnsi="仿宋_GB2312" w:eastAsia="仿宋_GB2312" w:cs="仿宋_GB2312"/>
                <w:color w:val="auto"/>
                <w:sz w:val="32"/>
                <w:szCs w:val="32"/>
                <w:vertAlign w:val="baseline"/>
              </w:rPr>
              <w:t>1000≤X&lt;10000</w:t>
            </w:r>
          </w:p>
        </w:tc>
        <w:tc>
          <w:tcPr>
            <w:tcW w:w="0" w:type="auto"/>
            <w:vMerge w:val="restart"/>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rPr>
              <w:t>20%以上</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5%≤Y＜20%</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eastAsia="zh-CN" w:bidi="ar-SA"/>
              </w:rPr>
            </w:pPr>
          </w:p>
        </w:tc>
        <w:tc>
          <w:tcPr>
            <w:tcW w:w="0" w:type="auto"/>
            <w:vMerge w:val="continue"/>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rPr>
              <w:t>20%≤Y</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rPr>
              <w:t>10000≤X</w:t>
            </w:r>
          </w:p>
        </w:tc>
        <w:tc>
          <w:tcPr>
            <w:tcW w:w="0" w:type="auto"/>
            <w:vMerge w:val="restart"/>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rPr>
              <w:t>20%以上</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rPr>
              <w:t>5%≤Y＜20%</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p>
        </w:tc>
        <w:tc>
          <w:tcPr>
            <w:tcW w:w="0" w:type="auto"/>
            <w:vMerge w:val="continue"/>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rPr>
              <w:t>20%≤Y</w:t>
            </w:r>
          </w:p>
        </w:tc>
        <w:tc>
          <w:tcPr>
            <w:tcW w:w="0" w:type="auto"/>
            <w:vAlign w:val="center"/>
          </w:tcPr>
          <w:p>
            <w:pPr>
              <w:keepNext w:val="0"/>
              <w:keepLines w:val="0"/>
              <w:pageBreakBefore w:val="0"/>
              <w:numPr>
                <w:ilvl w:val="-1"/>
                <w:numId w:val="0"/>
              </w:numPr>
              <w:kinsoku/>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eastAsia="zh-CN" w:bidi="ar-SA"/>
              </w:rPr>
            </w:pPr>
            <w:r>
              <w:rPr>
                <w:rFonts w:hint="eastAsia" w:ascii="仿宋_GB2312" w:hAnsi="仿宋_GB2312" w:eastAsia="仿宋_GB2312" w:cs="仿宋_GB2312"/>
                <w:color w:val="auto"/>
                <w:sz w:val="32"/>
                <w:szCs w:val="32"/>
                <w:vertAlign w:val="baseline"/>
              </w:rPr>
              <w:t>100</w:t>
            </w:r>
          </w:p>
        </w:tc>
      </w:tr>
    </w:tbl>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pPr>
        <w:keepNext w:val="0"/>
        <w:keepLines w:val="0"/>
        <w:pageBreakBefore w:val="0"/>
        <w:widowControl/>
        <w:kinsoku/>
        <w:topLinePunct w:val="0"/>
        <w:autoSpaceDE/>
        <w:autoSpaceDN/>
        <w:bidi w:val="0"/>
        <w:adjustRightInd/>
        <w:snapToGrid/>
        <w:spacing w:line="560" w:lineRule="exact"/>
        <w:ind w:firstLine="622" w:firstLineChars="200"/>
        <w:textAlignment w:val="auto"/>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1.《南山区促进产业高质量发展专项资金管理办法》</w:t>
      </w: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2.《南山区促进科技创新专项扶持措施》</w:t>
      </w: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pPr>
        <w:keepNext w:val="0"/>
        <w:keepLines w:val="0"/>
        <w:pageBreakBefore w:val="0"/>
        <w:tabs>
          <w:tab w:val="right" w:pos="8844"/>
        </w:tabs>
        <w:kinsoku/>
        <w:topLinePunct w:val="0"/>
        <w:autoSpaceDE/>
        <w:autoSpaceDN/>
        <w:bidi w:val="0"/>
        <w:adjustRightInd/>
        <w:snapToGrid/>
        <w:spacing w:line="560" w:lineRule="exact"/>
        <w:ind w:firstLine="622"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default" w:ascii="仿宋_GB2312" w:hAnsi="Times New Roman" w:eastAsia="仿宋_GB2312"/>
          <w:color w:val="auto"/>
          <w:sz w:val="32"/>
          <w:szCs w:val="32"/>
        </w:rPr>
        <w:t>申报主体为注册地在南山区，</w:t>
      </w:r>
      <w:r>
        <w:rPr>
          <w:rFonts w:hint="eastAsia" w:ascii="仿宋_GB2312" w:hAnsi="Times New Roman" w:eastAsia="仿宋_GB2312"/>
          <w:color w:val="auto"/>
          <w:sz w:val="32"/>
          <w:szCs w:val="32"/>
          <w:lang w:eastAsia="zh-CN"/>
        </w:rPr>
        <w:t>上一年度认定通过</w:t>
      </w:r>
      <w:r>
        <w:rPr>
          <w:rFonts w:hint="default" w:ascii="仿宋_GB2312" w:hAnsi="Times New Roman" w:eastAsia="仿宋_GB2312"/>
          <w:color w:val="auto"/>
          <w:sz w:val="32"/>
          <w:szCs w:val="32"/>
          <w:lang w:eastAsia="zh-CN"/>
        </w:rPr>
        <w:t>且营业收入不低于1000万元</w:t>
      </w:r>
      <w:r>
        <w:rPr>
          <w:rFonts w:hint="eastAsia" w:ascii="仿宋_GB2312" w:hAnsi="Times New Roman" w:eastAsia="仿宋_GB2312"/>
          <w:color w:val="auto"/>
          <w:sz w:val="32"/>
          <w:szCs w:val="32"/>
          <w:lang w:eastAsia="zh-CN"/>
        </w:rPr>
        <w:t>的国家高新技术企业</w:t>
      </w:r>
      <w:r>
        <w:rPr>
          <w:rFonts w:hint="default" w:ascii="仿宋_GB2312" w:hAnsi="Times New Roman" w:eastAsia="仿宋_GB2312"/>
          <w:color w:val="auto"/>
          <w:sz w:val="32"/>
          <w:szCs w:val="32"/>
          <w:lang w:eastAsia="zh-CN"/>
        </w:rPr>
        <w:t>。</w:t>
      </w:r>
      <w:r>
        <w:rPr>
          <w:rFonts w:ascii="仿宋_GB2312" w:eastAsia="仿宋_GB2312"/>
          <w:color w:val="auto"/>
          <w:sz w:val="32"/>
          <w:szCs w:val="32"/>
        </w:rPr>
        <w:tab/>
      </w:r>
    </w:p>
    <w:p>
      <w:pPr>
        <w:keepNext w:val="0"/>
        <w:keepLines w:val="0"/>
        <w:pageBreakBefore w:val="0"/>
        <w:kinsoku/>
        <w:topLinePunct w:val="0"/>
        <w:autoSpaceDE/>
        <w:autoSpaceDN/>
        <w:bidi w:val="0"/>
        <w:adjustRightInd/>
        <w:snapToGrid/>
        <w:spacing w:line="560" w:lineRule="exact"/>
        <w:ind w:firstLine="622" w:firstLineChars="200"/>
        <w:jc w:val="left"/>
        <w:textAlignment w:val="auto"/>
        <w:rPr>
          <w:rFonts w:hint="eastAsia" w:ascii="仿宋_GB2312" w:hAnsi="Times New Roman" w:eastAsia="仿宋_GB2312"/>
          <w:color w:val="auto"/>
          <w:sz w:val="32"/>
          <w:szCs w:val="32"/>
        </w:rPr>
      </w:pPr>
      <w:r>
        <w:rPr>
          <w:rFonts w:hint="default" w:ascii="仿宋_GB2312" w:hAnsi="Times New Roman" w:eastAsia="仿宋_GB2312"/>
          <w:color w:val="auto"/>
          <w:sz w:val="32"/>
          <w:szCs w:val="32"/>
          <w:lang w:eastAsia="zh-CN"/>
        </w:rPr>
        <w:t>2</w:t>
      </w:r>
      <w:r>
        <w:rPr>
          <w:rFonts w:hint="eastAsia" w:ascii="仿宋_GB2312" w:hAnsi="Times New Roman" w:eastAsia="仿宋_GB2312"/>
          <w:color w:val="auto"/>
          <w:sz w:val="32"/>
          <w:szCs w:val="32"/>
          <w:lang w:val="en-US" w:eastAsia="zh-CN"/>
        </w:rPr>
        <w:t>.</w:t>
      </w:r>
      <w:r>
        <w:rPr>
          <w:rFonts w:hint="eastAsia" w:ascii="仿宋_GB2312" w:hAnsi="Times New Roman" w:eastAsia="仿宋_GB2312"/>
          <w:color w:val="auto"/>
          <w:sz w:val="32"/>
          <w:szCs w:val="32"/>
        </w:rPr>
        <w:t>企业更名后重新核发认定证书的不再给予奖励。</w:t>
      </w:r>
    </w:p>
    <w:p>
      <w:pPr>
        <w:keepNext w:val="0"/>
        <w:keepLines w:val="0"/>
        <w:pageBreakBefore w:val="0"/>
        <w:kinsoku/>
        <w:topLinePunct w:val="0"/>
        <w:autoSpaceDE/>
        <w:autoSpaceDN/>
        <w:bidi w:val="0"/>
        <w:adjustRightInd/>
        <w:snapToGrid/>
        <w:spacing w:line="560" w:lineRule="exact"/>
        <w:ind w:firstLine="622" w:firstLineChars="200"/>
        <w:jc w:val="left"/>
        <w:textAlignment w:val="auto"/>
        <w:rPr>
          <w:rFonts w:hint="default" w:ascii="仿宋_GB2312" w:hAnsi="Times New Roman" w:eastAsia="仿宋_GB2312"/>
          <w:color w:val="auto"/>
          <w:sz w:val="32"/>
          <w:szCs w:val="32"/>
          <w:lang w:val="en-US" w:eastAsia="zh-CN"/>
        </w:rPr>
      </w:pPr>
      <w:r>
        <w:rPr>
          <w:rFonts w:hint="default" w:ascii="仿宋_GB2312" w:hAnsi="Times New Roman" w:eastAsia="仿宋_GB2312"/>
          <w:color w:val="auto"/>
          <w:sz w:val="32"/>
          <w:szCs w:val="32"/>
          <w:lang w:eastAsia="zh-CN"/>
        </w:rPr>
        <w:t>3</w:t>
      </w:r>
      <w:r>
        <w:rPr>
          <w:rFonts w:hint="eastAsia" w:ascii="仿宋_GB2312" w:hAnsi="Times New Roman" w:eastAsia="仿宋_GB2312"/>
          <w:color w:val="auto"/>
          <w:sz w:val="32"/>
          <w:szCs w:val="32"/>
          <w:lang w:val="en-US" w:eastAsia="zh-CN"/>
        </w:rPr>
        <w:t>.同一年度不得与《深圳高新区发展专项计划科技企业培育项目》高成长企业支持计划同时享受资助。</w:t>
      </w: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pPr>
        <w:keepNext w:val="0"/>
        <w:keepLines w:val="0"/>
        <w:pageBreakBefore w:val="0"/>
        <w:kinsoku/>
        <w:topLinePunct w:val="0"/>
        <w:autoSpaceDE/>
        <w:autoSpaceDN/>
        <w:bidi w:val="0"/>
        <w:adjustRightInd/>
        <w:snapToGrid/>
        <w:spacing w:line="560" w:lineRule="exact"/>
        <w:ind w:firstLine="622"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本资助计划属核准类，实行单位申报、材料审核、社会公示、政府决策的原则，采取无偿资助方式和事后补贴制，受资助项目无需验收。</w:t>
      </w: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六</w:t>
      </w:r>
      <w:r>
        <w:rPr>
          <w:rFonts w:hint="eastAsia" w:ascii="黑体" w:hAnsi="黑体" w:eastAsia="黑体" w:cs="黑体"/>
          <w:bCs/>
          <w:kern w:val="2"/>
          <w:sz w:val="32"/>
          <w:szCs w:val="32"/>
          <w:lang w:eastAsia="zh-CN" w:bidi="ar-SA"/>
        </w:rPr>
        <w:t>、办理流程</w:t>
      </w:r>
    </w:p>
    <w:p>
      <w:pPr>
        <w:keepNext w:val="0"/>
        <w:keepLines w:val="0"/>
        <w:pageBreakBefore w:val="0"/>
        <w:kinsoku/>
        <w:topLinePunct w:val="0"/>
        <w:autoSpaceDE/>
        <w:autoSpaceDN/>
        <w:bidi w:val="0"/>
        <w:adjustRightInd/>
        <w:snapToGrid/>
        <w:spacing w:after="0" w:line="560" w:lineRule="exact"/>
        <w:ind w:firstLine="622"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（一）申报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keepNext w:val="0"/>
        <w:keepLines w:val="0"/>
        <w:pageBreakBefore w:val="0"/>
        <w:kinsoku/>
        <w:topLinePunct w:val="0"/>
        <w:autoSpaceDE/>
        <w:autoSpaceDN/>
        <w:bidi w:val="0"/>
        <w:adjustRightInd/>
        <w:snapToGrid/>
        <w:spacing w:after="0" w:line="560" w:lineRule="exact"/>
        <w:ind w:firstLine="622"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 xml:space="preserve">，区科技创新局复审项目申报材料； </w:t>
      </w:r>
    </w:p>
    <w:p>
      <w:pPr>
        <w:keepNext w:val="0"/>
        <w:keepLines w:val="0"/>
        <w:pageBreakBefore w:val="0"/>
        <w:kinsoku/>
        <w:topLinePunct w:val="0"/>
        <w:autoSpaceDE/>
        <w:autoSpaceDN/>
        <w:bidi w:val="0"/>
        <w:adjustRightInd/>
        <w:snapToGrid/>
        <w:spacing w:after="0" w:line="560" w:lineRule="exact"/>
        <w:ind w:firstLine="622"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keepNext w:val="0"/>
        <w:keepLines w:val="0"/>
        <w:pageBreakBefore w:val="0"/>
        <w:kinsoku/>
        <w:topLinePunct w:val="0"/>
        <w:autoSpaceDE/>
        <w:autoSpaceDN/>
        <w:bidi w:val="0"/>
        <w:adjustRightInd/>
        <w:snapToGrid/>
        <w:spacing w:after="0" w:line="560" w:lineRule="exact"/>
        <w:ind w:firstLine="622"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（四）区统计局对申报主体在地统计开展情况进行核查，</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的注册情况和不良信用记录等情况进行核查</w:t>
      </w:r>
      <w:r>
        <w:rPr>
          <w:rFonts w:hint="eastAsia" w:ascii="仿宋_GB2312" w:eastAsia="仿宋_GB2312"/>
          <w:sz w:val="32"/>
          <w:szCs w:val="32"/>
          <w:lang w:eastAsia="zh-CN"/>
        </w:rPr>
        <w:t>；</w:t>
      </w:r>
    </w:p>
    <w:p>
      <w:pPr>
        <w:keepNext w:val="0"/>
        <w:keepLines w:val="0"/>
        <w:pageBreakBefore w:val="0"/>
        <w:kinsoku/>
        <w:topLinePunct w:val="0"/>
        <w:autoSpaceDE/>
        <w:autoSpaceDN/>
        <w:bidi w:val="0"/>
        <w:adjustRightInd/>
        <w:snapToGrid/>
        <w:spacing w:after="0" w:line="560" w:lineRule="exact"/>
        <w:ind w:firstLine="622" w:firstLineChars="200"/>
        <w:contextualSpacing/>
        <w:jc w:val="both"/>
        <w:textAlignment w:val="auto"/>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对公示期满，无有效投诉的项目资助计划，再提交专责小组会议进行审议</w:t>
      </w:r>
      <w:r>
        <w:rPr>
          <w:rFonts w:hint="eastAsia" w:ascii="仿宋_GB2312" w:eastAsia="仿宋_GB2312"/>
          <w:sz w:val="32"/>
          <w:szCs w:val="32"/>
          <w:lang w:eastAsia="zh-CN"/>
        </w:rPr>
        <w:t>；</w:t>
      </w:r>
    </w:p>
    <w:p>
      <w:pPr>
        <w:keepNext w:val="0"/>
        <w:keepLines w:val="0"/>
        <w:pageBreakBefore w:val="0"/>
        <w:kinsoku/>
        <w:topLinePunct w:val="0"/>
        <w:autoSpaceDE/>
        <w:autoSpaceDN/>
        <w:bidi w:val="0"/>
        <w:adjustRightInd/>
        <w:snapToGrid/>
        <w:spacing w:after="0" w:line="560" w:lineRule="exact"/>
        <w:ind w:firstLine="622" w:firstLineChars="200"/>
        <w:contextualSpacing/>
        <w:jc w:val="both"/>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pPr>
        <w:keepNext w:val="0"/>
        <w:keepLines w:val="0"/>
        <w:pageBreakBefore w:val="0"/>
        <w:kinsoku/>
        <w:topLinePunct w:val="0"/>
        <w:autoSpaceDE/>
        <w:autoSpaceDN/>
        <w:bidi w:val="0"/>
        <w:adjustRightInd/>
        <w:snapToGrid/>
        <w:spacing w:after="0" w:line="560" w:lineRule="exact"/>
        <w:ind w:firstLine="622" w:firstLineChars="200"/>
        <w:contextualSpacing/>
        <w:jc w:val="both"/>
        <w:textAlignment w:val="auto"/>
        <w:outlineLvl w:val="1"/>
        <w:rPr>
          <w:rFonts w:ascii="仿宋_GB2312" w:eastAsia="仿宋_GB2312"/>
          <w:sz w:val="32"/>
          <w:szCs w:val="32"/>
          <w:lang w:eastAsia="zh-CN"/>
        </w:rPr>
      </w:pPr>
      <w:r>
        <w:rPr>
          <w:rFonts w:hint="eastAsia" w:ascii="仿宋_GB2312" w:hAnsi="宋体" w:eastAsia="仿宋_GB2312"/>
          <w:sz w:val="32"/>
          <w:szCs w:val="32"/>
          <w:lang w:eastAsia="zh-CN"/>
        </w:rPr>
        <w:t>（七）区财政部门及时安排资金，区科技创新局办理资金拨付手续</w:t>
      </w:r>
      <w:r>
        <w:rPr>
          <w:rFonts w:hint="eastAsia" w:ascii="仿宋_GB2312" w:eastAsia="仿宋_GB2312"/>
          <w:sz w:val="32"/>
          <w:szCs w:val="32"/>
          <w:lang w:eastAsia="zh-CN"/>
        </w:rPr>
        <w:t>。</w:t>
      </w: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七</w:t>
      </w:r>
      <w:r>
        <w:rPr>
          <w:rFonts w:hint="eastAsia" w:ascii="黑体" w:hAnsi="黑体" w:eastAsia="黑体" w:cs="黑体"/>
          <w:bCs/>
          <w:kern w:val="2"/>
          <w:sz w:val="32"/>
          <w:szCs w:val="32"/>
          <w:lang w:eastAsia="zh-CN" w:bidi="ar-SA"/>
        </w:rPr>
        <w:t>、所需材料</w:t>
      </w:r>
    </w:p>
    <w:p>
      <w:pPr>
        <w:keepNext w:val="0"/>
        <w:keepLines w:val="0"/>
        <w:pageBreakBefore w:val="0"/>
        <w:kinsoku/>
        <w:wordWrap w:val="0"/>
        <w:overflowPunct w:val="0"/>
        <w:topLinePunct w:val="0"/>
        <w:autoSpaceDE/>
        <w:autoSpaceDN/>
        <w:bidi w:val="0"/>
        <w:adjustRightInd/>
        <w:snapToGrid/>
        <w:spacing w:line="560" w:lineRule="exact"/>
        <w:ind w:firstLine="622" w:firstLineChars="200"/>
        <w:textAlignment w:val="auto"/>
        <w:rPr>
          <w:rFonts w:ascii="仿宋_GB2312" w:eastAsia="仿宋_GB2312"/>
          <w:color w:val="auto"/>
          <w:sz w:val="32"/>
          <w:szCs w:val="32"/>
        </w:rPr>
      </w:pPr>
      <w:r>
        <w:rPr>
          <w:rFonts w:hint="eastAsia" w:ascii="仿宋_GB2312" w:hAnsi="ˎ̥" w:eastAsia="仿宋_GB2312" w:cs="宋体"/>
          <w:sz w:val="32"/>
          <w:szCs w:val="32"/>
          <w:highlight w:val="none"/>
          <w:lang w:eastAsia="zh-CN" w:bidi="ar-SA"/>
        </w:rPr>
        <w:t>（一）登录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eastAsia="仿宋_GB2312"/>
          <w:sz w:val="32"/>
          <w:szCs w:val="32"/>
          <w:highlight w:val="none"/>
          <w:lang w:eastAsia="zh-CN" w:bidi="ar-SA"/>
        </w:rPr>
        <w:t>，在线填写《南山区促进产业高质量发展专项资金——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rPr>
        <w:t>高成长性国高支持计划</w:t>
      </w:r>
      <w:r>
        <w:rPr>
          <w:rFonts w:hint="eastAsia" w:ascii="仿宋_GB2312" w:eastAsia="仿宋_GB2312"/>
          <w:sz w:val="32"/>
          <w:szCs w:val="32"/>
          <w:highlight w:val="none"/>
          <w:lang w:eastAsia="zh-CN" w:bidi="ar-SA"/>
        </w:rPr>
        <w:t>项目申请书》</w:t>
      </w:r>
      <w:r>
        <w:rPr>
          <w:rFonts w:hint="eastAsia" w:ascii="仿宋_GB2312" w:eastAsia="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22"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w:t>
      </w:r>
      <w:r>
        <w:rPr>
          <w:rFonts w:hint="eastAsia" w:ascii="仿宋_GB2312" w:eastAsia="仿宋_GB2312"/>
          <w:sz w:val="32"/>
          <w:szCs w:val="32"/>
          <w:highlight w:val="none"/>
          <w:lang w:eastAsia="zh-CN" w:bidi="ar-SA"/>
        </w:rPr>
        <w:t>《南山区促进产业高质量发展专项资金——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rPr>
        <w:t>高成长性国高支持计划</w:t>
      </w:r>
      <w:r>
        <w:rPr>
          <w:rFonts w:hint="eastAsia" w:ascii="仿宋_GB2312" w:eastAsia="仿宋_GB2312"/>
          <w:sz w:val="32"/>
          <w:szCs w:val="32"/>
          <w:highlight w:val="none"/>
          <w:lang w:eastAsia="zh-CN" w:bidi="ar-SA"/>
        </w:rPr>
        <w:t>项目申请书》</w:t>
      </w:r>
      <w:r>
        <w:rPr>
          <w:rFonts w:hint="eastAsia" w:ascii="仿宋_GB2312" w:hAnsi="ˎ̥" w:cs="宋体"/>
          <w:color w:val="auto"/>
          <w:szCs w:val="32"/>
          <w:highlight w:val="none"/>
        </w:rPr>
        <w:t>填表</w:t>
      </w:r>
      <w:r>
        <w:rPr>
          <w:rFonts w:hint="eastAsia" w:ascii="仿宋_GB2312" w:hAnsi="ˎ̥" w:cs="宋体"/>
          <w:color w:val="auto"/>
          <w:szCs w:val="32"/>
          <w:highlight w:val="none"/>
          <w:lang w:eastAsia="zh-CN"/>
        </w:rPr>
        <w:t>声</w:t>
      </w:r>
      <w:r>
        <w:rPr>
          <w:rFonts w:hint="eastAsia" w:ascii="仿宋_GB2312" w:hAnsi="ˎ̥" w:cs="宋体"/>
          <w:color w:val="auto"/>
          <w:szCs w:val="32"/>
          <w:highlight w:val="none"/>
        </w:rPr>
        <w:t>明与保证（法定代表人签字并加盖单位公章后，</w:t>
      </w:r>
      <w:r>
        <w:rPr>
          <w:rFonts w:hint="eastAsia" w:ascii="仿宋_GB2312"/>
          <w:color w:val="auto"/>
          <w:szCs w:val="32"/>
          <w:highlight w:val="none"/>
        </w:rPr>
        <w:t>原件彩色扫描成PDF文件上传）；</w:t>
      </w:r>
    </w:p>
    <w:p>
      <w:pPr>
        <w:keepNext w:val="0"/>
        <w:keepLines w:val="0"/>
        <w:pageBreakBefore w:val="0"/>
        <w:kinsoku/>
        <w:overflowPunct/>
        <w:topLinePunct w:val="0"/>
        <w:autoSpaceDE/>
        <w:autoSpaceDN/>
        <w:bidi w:val="0"/>
        <w:adjustRightInd/>
        <w:snapToGrid/>
        <w:spacing w:after="0" w:line="560" w:lineRule="exact"/>
        <w:ind w:firstLine="622"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color w:val="auto"/>
          <w:sz w:val="32"/>
          <w:szCs w:val="32"/>
          <w:lang w:eastAsia="zh-CN"/>
        </w:rPr>
        <w:t>（三）</w:t>
      </w:r>
      <w:bookmarkStart w:id="2" w:name="_Hlk97671613"/>
      <w:bookmarkStart w:id="3" w:name="_Hlk98165730"/>
      <w:r>
        <w:rPr>
          <w:rFonts w:hint="eastAsia" w:ascii="仿宋_GB2312" w:hAnsi="仿宋" w:eastAsia="仿宋_GB2312"/>
          <w:sz w:val="32"/>
          <w:szCs w:val="32"/>
          <w:highlight w:val="none"/>
          <w:lang w:eastAsia="zh-CN"/>
        </w:rPr>
        <w:t>统一社会信用代码证书</w:t>
      </w:r>
      <w:bookmarkEnd w:id="2"/>
      <w:r>
        <w:rPr>
          <w:rFonts w:hint="eastAsia" w:ascii="仿宋_GB2312" w:eastAsia="仿宋_GB2312"/>
          <w:sz w:val="32"/>
          <w:szCs w:val="32"/>
          <w:highlight w:val="none"/>
          <w:lang w:eastAsia="zh-CN"/>
        </w:rPr>
        <w:t>（</w:t>
      </w:r>
      <w:bookmarkStart w:id="4" w:name="_Hlk98164030"/>
      <w:r>
        <w:rPr>
          <w:rFonts w:hint="eastAsia" w:ascii="仿宋_GB2312" w:eastAsia="仿宋_GB2312"/>
          <w:sz w:val="32"/>
          <w:szCs w:val="32"/>
          <w:highlight w:val="none"/>
          <w:lang w:eastAsia="zh-CN"/>
        </w:rPr>
        <w:t>原件彩色扫描成PDF文件上传</w:t>
      </w:r>
      <w:bookmarkEnd w:id="4"/>
      <w:r>
        <w:rPr>
          <w:rFonts w:hint="eastAsia" w:ascii="仿宋_GB2312" w:eastAsia="仿宋_GB2312"/>
          <w:sz w:val="32"/>
          <w:szCs w:val="32"/>
          <w:highlight w:val="none"/>
          <w:lang w:eastAsia="zh-CN"/>
        </w:rPr>
        <w:t>）</w:t>
      </w:r>
      <w:bookmarkEnd w:id="3"/>
      <w:r>
        <w:rPr>
          <w:rFonts w:hint="eastAsia" w:ascii="仿宋_GB2312" w:eastAsia="仿宋_GB2312"/>
          <w:sz w:val="32"/>
          <w:szCs w:val="32"/>
          <w:highlight w:val="none"/>
          <w:lang w:eastAsia="zh-CN"/>
        </w:rPr>
        <w:t>；</w:t>
      </w:r>
    </w:p>
    <w:p>
      <w:pPr>
        <w:keepNext w:val="0"/>
        <w:keepLines w:val="0"/>
        <w:pageBreakBefore w:val="0"/>
        <w:kinsoku/>
        <w:wordWrap w:val="0"/>
        <w:overflowPunct w:val="0"/>
        <w:topLinePunct w:val="0"/>
        <w:autoSpaceDE/>
        <w:autoSpaceDN/>
        <w:bidi w:val="0"/>
        <w:adjustRightInd/>
        <w:snapToGrid/>
        <w:spacing w:line="560" w:lineRule="exact"/>
        <w:ind w:firstLine="622"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法定代表人身份证</w:t>
      </w:r>
      <w:r>
        <w:rPr>
          <w:rFonts w:hint="eastAsia" w:ascii="仿宋_GB2312" w:hAnsi="宋体" w:eastAsia="仿宋_GB2312" w:cs="宋体"/>
          <w:color w:val="auto"/>
          <w:sz w:val="32"/>
          <w:szCs w:val="32"/>
        </w:rPr>
        <w:t>[原件（复印件加盖公章）彩色扫描</w:t>
      </w:r>
      <w:r>
        <w:rPr>
          <w:rFonts w:hint="default" w:ascii="仿宋_GB2312" w:hAnsi="宋体" w:eastAsia="仿宋_GB2312" w:cs="宋体"/>
          <w:color w:val="auto"/>
          <w:sz w:val="32"/>
          <w:szCs w:val="32"/>
        </w:rPr>
        <w:t>成PDF文件</w:t>
      </w:r>
      <w:r>
        <w:rPr>
          <w:rFonts w:hint="eastAsia" w:ascii="仿宋_GB2312" w:hAnsi="宋体" w:eastAsia="仿宋_GB2312" w:cs="宋体"/>
          <w:color w:val="auto"/>
          <w:sz w:val="32"/>
          <w:szCs w:val="32"/>
        </w:rPr>
        <w:t>上传]</w:t>
      </w:r>
      <w:r>
        <w:rPr>
          <w:rFonts w:hint="eastAsia" w:ascii="仿宋_GB2312" w:eastAsia="仿宋_GB2312"/>
          <w:color w:val="auto"/>
          <w:sz w:val="32"/>
          <w:szCs w:val="32"/>
        </w:rPr>
        <w:t>；</w:t>
      </w:r>
    </w:p>
    <w:p>
      <w:pPr>
        <w:keepNext w:val="0"/>
        <w:keepLines w:val="0"/>
        <w:pageBreakBefore w:val="0"/>
        <w:widowControl/>
        <w:kinsoku/>
        <w:wordWrap w:val="0"/>
        <w:overflowPunct w:val="0"/>
        <w:topLinePunct w:val="0"/>
        <w:autoSpaceDE/>
        <w:autoSpaceDN/>
        <w:bidi w:val="0"/>
        <w:adjustRightInd/>
        <w:snapToGrid/>
        <w:spacing w:line="560" w:lineRule="exact"/>
        <w:ind w:firstLine="622"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由税务部门开具的单位上年度纳税证明（</w:t>
      </w:r>
      <w:r>
        <w:rPr>
          <w:rFonts w:hint="eastAsia" w:ascii="仿宋_GB2312" w:eastAsia="仿宋_GB2312"/>
          <w:color w:val="auto"/>
          <w:sz w:val="32"/>
          <w:szCs w:val="32"/>
          <w:lang w:eastAsia="zh-CN"/>
        </w:rPr>
        <w:t>上传税务系统下载带有税务机关红色印章的电子版</w:t>
      </w:r>
      <w:r>
        <w:rPr>
          <w:rFonts w:hint="eastAsia" w:ascii="仿宋_GB2312" w:eastAsia="仿宋_GB2312"/>
          <w:color w:val="auto"/>
          <w:sz w:val="32"/>
          <w:szCs w:val="32"/>
        </w:rPr>
        <w:t>）；</w:t>
      </w:r>
    </w:p>
    <w:p>
      <w:pPr>
        <w:keepNext w:val="0"/>
        <w:keepLines w:val="0"/>
        <w:pageBreakBefore w:val="0"/>
        <w:kinsoku/>
        <w:wordWrap w:val="0"/>
        <w:overflowPunct w:val="0"/>
        <w:topLinePunct w:val="0"/>
        <w:autoSpaceDE/>
        <w:autoSpaceDN/>
        <w:bidi w:val="0"/>
        <w:adjustRightInd/>
        <w:snapToGrid/>
        <w:spacing w:line="560" w:lineRule="exact"/>
        <w:ind w:firstLine="622"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上年度认定的国家高新技术企业证书（</w:t>
      </w:r>
      <w:r>
        <w:rPr>
          <w:rFonts w:hint="eastAsia" w:ascii="仿宋_GB2312" w:hAnsi="宋体" w:eastAsia="仿宋_GB2312" w:cs="宋体"/>
          <w:color w:val="auto"/>
          <w:sz w:val="32"/>
          <w:szCs w:val="32"/>
        </w:rPr>
        <w:t>原件彩色扫描</w:t>
      </w:r>
      <w:r>
        <w:rPr>
          <w:rFonts w:hint="default" w:ascii="仿宋_GB2312" w:hAnsi="宋体" w:eastAsia="仿宋_GB2312" w:cs="宋体"/>
          <w:color w:val="auto"/>
          <w:sz w:val="32"/>
          <w:szCs w:val="32"/>
        </w:rPr>
        <w:t>成PDF文件</w:t>
      </w:r>
      <w:r>
        <w:rPr>
          <w:rFonts w:hint="eastAsia" w:ascii="仿宋_GB2312" w:hAnsi="宋体" w:eastAsia="仿宋_GB2312" w:cs="宋体"/>
          <w:color w:val="auto"/>
          <w:sz w:val="32"/>
          <w:szCs w:val="32"/>
        </w:rPr>
        <w:t>上传）</w:t>
      </w:r>
      <w:r>
        <w:rPr>
          <w:rFonts w:hint="eastAsia" w:ascii="仿宋_GB2312" w:eastAsia="仿宋_GB2312"/>
          <w:color w:val="auto"/>
          <w:sz w:val="32"/>
          <w:szCs w:val="32"/>
        </w:rPr>
        <w:t>。</w:t>
      </w:r>
    </w:p>
    <w:p>
      <w:pPr>
        <w:keepNext w:val="0"/>
        <w:keepLines w:val="0"/>
        <w:pageBreakBefore w:val="0"/>
        <w:kinsoku/>
        <w:wordWrap w:val="0"/>
        <w:overflowPunct w:val="0"/>
        <w:topLinePunct w:val="0"/>
        <w:autoSpaceDE/>
        <w:autoSpaceDN/>
        <w:bidi w:val="0"/>
        <w:adjustRightInd/>
        <w:snapToGrid/>
        <w:spacing w:line="560" w:lineRule="exact"/>
        <w:ind w:firstLine="622"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lang w:val="en-US" w:eastAsia="zh-CN"/>
        </w:rPr>
        <w:t>经深圳市注册会计师事务所出具的企业近两个年度财务会计报告（需提交经深圳市注册会计师协会备案的含有防伪标识封面的审计报告</w:t>
      </w:r>
      <w:r>
        <w:rPr>
          <w:rFonts w:hint="default" w:ascii="仿宋_GB2312" w:eastAsia="仿宋_GB2312"/>
          <w:color w:val="auto"/>
          <w:sz w:val="32"/>
          <w:szCs w:val="32"/>
          <w:lang w:eastAsia="zh-CN"/>
        </w:rPr>
        <w:t>，</w:t>
      </w:r>
      <w:r>
        <w:rPr>
          <w:rFonts w:hint="eastAsia" w:ascii="仿宋_GB2312" w:hAnsi="宋体" w:eastAsia="仿宋_GB2312" w:cs="宋体"/>
          <w:color w:val="auto"/>
          <w:sz w:val="32"/>
          <w:szCs w:val="32"/>
        </w:rPr>
        <w:t>原件彩色扫描</w:t>
      </w:r>
      <w:r>
        <w:rPr>
          <w:rFonts w:hint="default" w:ascii="仿宋_GB2312" w:hAnsi="宋体" w:eastAsia="仿宋_GB2312" w:cs="宋体"/>
          <w:color w:val="auto"/>
          <w:sz w:val="32"/>
          <w:szCs w:val="32"/>
        </w:rPr>
        <w:t>成PDF文件</w:t>
      </w:r>
      <w:r>
        <w:rPr>
          <w:rFonts w:hint="eastAsia" w:ascii="仿宋_GB2312" w:hAnsi="宋体" w:eastAsia="仿宋_GB2312" w:cs="宋体"/>
          <w:color w:val="auto"/>
          <w:sz w:val="32"/>
          <w:szCs w:val="32"/>
        </w:rPr>
        <w:t>上传</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p>
    <w:p>
      <w:pPr>
        <w:keepNext w:val="0"/>
        <w:keepLines w:val="0"/>
        <w:pageBreakBefore w:val="0"/>
        <w:kinsoku/>
        <w:wordWrap w:val="0"/>
        <w:overflowPunct w:val="0"/>
        <w:topLinePunct w:val="0"/>
        <w:autoSpaceDE/>
        <w:autoSpaceDN/>
        <w:bidi w:val="0"/>
        <w:adjustRightInd/>
        <w:snapToGrid/>
        <w:spacing w:line="560" w:lineRule="exact"/>
        <w:ind w:firstLine="622"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（八）</w:t>
      </w:r>
      <w:r>
        <w:rPr>
          <w:rFonts w:hint="eastAsia" w:ascii="仿宋_GB2312" w:eastAsia="仿宋_GB2312"/>
          <w:color w:val="auto"/>
          <w:sz w:val="32"/>
          <w:szCs w:val="32"/>
        </w:rPr>
        <w:t>第三方审计或者鉴证机构出具的上年度研发费用专项审计报告或者鉴证报告。第三方审计或者鉴证机构应当符合《高新技术企业认定管理工作指引》（国科发火〔2016〕195号）规定，具备独立执业资格，成立三年以上，近三年内无不良记录等要求。第三方审计或者鉴证机构资质如有调整的，按照调整后规定执行</w:t>
      </w:r>
      <w:r>
        <w:rPr>
          <w:rFonts w:hint="default" w:ascii="仿宋_GB2312" w:eastAsia="仿宋_GB2312"/>
          <w:color w:val="auto"/>
          <w:sz w:val="32"/>
          <w:szCs w:val="32"/>
        </w:rPr>
        <w:t>（</w:t>
      </w:r>
      <w:r>
        <w:rPr>
          <w:rFonts w:hint="eastAsia" w:ascii="仿宋_GB2312" w:hAnsi="宋体" w:eastAsia="仿宋_GB2312" w:cs="宋体"/>
          <w:color w:val="auto"/>
          <w:sz w:val="32"/>
          <w:szCs w:val="32"/>
        </w:rPr>
        <w:t>原件彩色扫描</w:t>
      </w:r>
      <w:r>
        <w:rPr>
          <w:rFonts w:hint="default" w:ascii="仿宋_GB2312" w:hAnsi="宋体" w:eastAsia="仿宋_GB2312" w:cs="宋体"/>
          <w:color w:val="auto"/>
          <w:sz w:val="32"/>
          <w:szCs w:val="32"/>
        </w:rPr>
        <w:t>成PDF文件</w:t>
      </w:r>
      <w:r>
        <w:rPr>
          <w:rFonts w:hint="eastAsia" w:ascii="仿宋_GB2312" w:hAnsi="宋体" w:eastAsia="仿宋_GB2312" w:cs="宋体"/>
          <w:color w:val="auto"/>
          <w:sz w:val="32"/>
          <w:szCs w:val="32"/>
        </w:rPr>
        <w:t>上传</w:t>
      </w:r>
      <w:r>
        <w:rPr>
          <w:rFonts w:hint="default" w:ascii="仿宋_GB2312" w:eastAsia="仿宋_GB2312"/>
          <w:color w:val="auto"/>
          <w:sz w:val="32"/>
          <w:szCs w:val="32"/>
        </w:rPr>
        <w:t>）</w:t>
      </w:r>
      <w:r>
        <w:rPr>
          <w:rFonts w:hint="eastAsia" w:ascii="仿宋_GB2312" w:eastAsia="仿宋_GB2312"/>
          <w:color w:val="auto"/>
          <w:sz w:val="32"/>
          <w:szCs w:val="32"/>
        </w:rPr>
        <w:t>。</w:t>
      </w:r>
    </w:p>
    <w:p>
      <w:pPr>
        <w:keepNext w:val="0"/>
        <w:keepLines w:val="0"/>
        <w:pageBreakBefore w:val="0"/>
        <w:kinsoku/>
        <w:wordWrap w:val="0"/>
        <w:overflowPunct w:val="0"/>
        <w:topLinePunct w:val="0"/>
        <w:autoSpaceDE/>
        <w:autoSpaceDN/>
        <w:bidi w:val="0"/>
        <w:adjustRightInd/>
        <w:snapToGrid/>
        <w:spacing w:line="560" w:lineRule="exact"/>
        <w:ind w:firstLine="622"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（九）</w:t>
      </w:r>
      <w:r>
        <w:rPr>
          <w:rFonts w:hint="eastAsia" w:ascii="仿宋_GB2312" w:eastAsia="仿宋_GB2312"/>
          <w:color w:val="auto"/>
          <w:sz w:val="32"/>
          <w:szCs w:val="32"/>
          <w:lang w:val="en-US" w:eastAsia="zh-CN"/>
        </w:rPr>
        <w:t>单位名称已作变更的，须上传单位工商变更证明材料（</w:t>
      </w:r>
      <w:r>
        <w:rPr>
          <w:rFonts w:hint="eastAsia" w:ascii="仿宋_GB2312" w:hAnsi="宋体" w:eastAsia="仿宋_GB2312" w:cs="宋体"/>
          <w:color w:val="auto"/>
          <w:sz w:val="32"/>
          <w:szCs w:val="32"/>
        </w:rPr>
        <w:t>原件彩色扫描</w:t>
      </w:r>
      <w:r>
        <w:rPr>
          <w:rFonts w:hint="default" w:ascii="仿宋_GB2312" w:hAnsi="宋体" w:eastAsia="仿宋_GB2312" w:cs="宋体"/>
          <w:color w:val="auto"/>
          <w:sz w:val="32"/>
          <w:szCs w:val="32"/>
        </w:rPr>
        <w:t>成PDF文件</w:t>
      </w:r>
      <w:r>
        <w:rPr>
          <w:rFonts w:hint="eastAsia" w:ascii="仿宋_GB2312" w:hAnsi="宋体" w:eastAsia="仿宋_GB2312" w:cs="宋体"/>
          <w:color w:val="auto"/>
          <w:sz w:val="32"/>
          <w:szCs w:val="32"/>
        </w:rPr>
        <w:t>上传</w:t>
      </w:r>
      <w:r>
        <w:rPr>
          <w:rFonts w:hint="eastAsia" w:ascii="仿宋_GB2312" w:eastAsia="仿宋_GB2312"/>
          <w:color w:val="auto"/>
          <w:sz w:val="32"/>
          <w:szCs w:val="32"/>
          <w:lang w:val="en-US" w:eastAsia="zh-CN"/>
        </w:rPr>
        <w:t>）。</w:t>
      </w: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八</w:t>
      </w:r>
      <w:r>
        <w:rPr>
          <w:rFonts w:hint="eastAsia" w:ascii="黑体" w:hAnsi="黑体" w:eastAsia="黑体" w:cs="黑体"/>
          <w:bCs/>
          <w:kern w:val="2"/>
          <w:sz w:val="32"/>
          <w:szCs w:val="32"/>
          <w:lang w:eastAsia="zh-CN" w:bidi="ar-SA"/>
        </w:rPr>
        <w:t>、申报时间和办理时限</w:t>
      </w:r>
    </w:p>
    <w:p>
      <w:pPr>
        <w:keepNext w:val="0"/>
        <w:keepLines w:val="0"/>
        <w:pageBreakBefore w:val="0"/>
        <w:kinsoku/>
        <w:topLinePunct w:val="0"/>
        <w:autoSpaceDE/>
        <w:autoSpaceDN/>
        <w:bidi w:val="0"/>
        <w:adjustRightInd/>
        <w:snapToGrid/>
        <w:spacing w:line="560" w:lineRule="exact"/>
        <w:ind w:firstLine="622" w:firstLineChars="200"/>
        <w:textAlignment w:val="auto"/>
        <w:rPr>
          <w:rFonts w:ascii="仿宋_GB2312" w:eastAsia="仿宋_GB2312"/>
          <w:color w:val="auto"/>
          <w:sz w:val="32"/>
          <w:szCs w:val="32"/>
        </w:rPr>
      </w:pPr>
      <w:r>
        <w:rPr>
          <w:rFonts w:hint="eastAsia" w:ascii="仿宋_GB2312" w:eastAsia="仿宋_GB2312"/>
          <w:color w:val="auto"/>
          <w:sz w:val="32"/>
          <w:szCs w:val="32"/>
        </w:rPr>
        <w:t>每年安排1-2次集中受理单位申请，具体受理时间以发布的申报通知为准。</w:t>
      </w:r>
    </w:p>
    <w:p>
      <w:pPr>
        <w:keepNext w:val="0"/>
        <w:keepLines w:val="0"/>
        <w:pageBreakBefore w:val="0"/>
        <w:kinsoku/>
        <w:topLinePunct w:val="0"/>
        <w:autoSpaceDE/>
        <w:autoSpaceDN/>
        <w:bidi w:val="0"/>
        <w:adjustRightInd/>
        <w:snapToGrid/>
        <w:spacing w:line="560" w:lineRule="exact"/>
        <w:ind w:firstLine="622" w:firstLineChars="200"/>
        <w:textAlignment w:val="auto"/>
        <w:rPr>
          <w:rFonts w:ascii="仿宋_GB2312" w:eastAsia="仿宋_GB2312"/>
          <w:color w:val="auto"/>
          <w:sz w:val="32"/>
          <w:szCs w:val="32"/>
        </w:rPr>
      </w:pPr>
      <w:r>
        <w:rPr>
          <w:rFonts w:hint="eastAsia" w:ascii="仿宋_GB2312" w:eastAsia="仿宋_GB2312"/>
          <w:color w:val="auto"/>
          <w:sz w:val="32"/>
          <w:szCs w:val="32"/>
        </w:rPr>
        <w:t>资助计划下达1个月内受资助单位须办理资金拨付手续，逾期不办理者视为自动放弃。</w:t>
      </w:r>
    </w:p>
    <w:p>
      <w:pPr>
        <w:keepNext w:val="0"/>
        <w:keepLines w:val="0"/>
        <w:pageBreakBefore w:val="0"/>
        <w:widowControl/>
        <w:kinsoku/>
        <w:topLinePunct w:val="0"/>
        <w:autoSpaceDE/>
        <w:autoSpaceDN/>
        <w:bidi w:val="0"/>
        <w:adjustRightInd/>
        <w:snapToGrid/>
        <w:spacing w:after="0" w:line="560" w:lineRule="exact"/>
        <w:ind w:firstLine="622" w:firstLineChars="200"/>
        <w:jc w:val="both"/>
        <w:textAlignment w:val="auto"/>
        <w:outlineLvl w:val="0"/>
        <w:rPr>
          <w:rFonts w:hint="eastAsia"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九</w:t>
      </w:r>
      <w:r>
        <w:rPr>
          <w:rFonts w:hint="eastAsia" w:ascii="黑体" w:hAnsi="黑体" w:eastAsia="黑体" w:cs="黑体"/>
          <w:bCs/>
          <w:kern w:val="2"/>
          <w:sz w:val="32"/>
          <w:szCs w:val="32"/>
          <w:lang w:eastAsia="zh-CN" w:bidi="ar-SA"/>
        </w:rPr>
        <w:t>、附则</w:t>
      </w:r>
    </w:p>
    <w:p>
      <w:pPr>
        <w:keepNext w:val="0"/>
        <w:keepLines w:val="0"/>
        <w:pageBreakBefore w:val="0"/>
        <w:kinsoku/>
        <w:topLinePunct w:val="0"/>
        <w:autoSpaceDE/>
        <w:autoSpaceDN/>
        <w:bidi w:val="0"/>
        <w:adjustRightInd/>
        <w:snapToGrid/>
        <w:spacing w:line="560" w:lineRule="exact"/>
        <w:ind w:firstLine="622"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本计划责任部门为南山区科技创新局，本操作规程由其负责解释，自发布之日起施行。</w:t>
      </w:r>
    </w:p>
    <w:sectPr>
      <w:footerReference r:id="rId3" w:type="default"/>
      <w:pgSz w:w="11906" w:h="16838"/>
      <w:pgMar w:top="1440" w:right="1800" w:bottom="1440" w:left="1800"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308443"/>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VlZDE5MmUzYjE2YmZkYWU1YzkzM2Y1NjIyOTkifQ=="/>
  </w:docVars>
  <w:rsids>
    <w:rsidRoot w:val="285F1712"/>
    <w:rsid w:val="00010EAD"/>
    <w:rsid w:val="00091C62"/>
    <w:rsid w:val="0009235E"/>
    <w:rsid w:val="000C5F30"/>
    <w:rsid w:val="00104C9C"/>
    <w:rsid w:val="001133EE"/>
    <w:rsid w:val="0018269B"/>
    <w:rsid w:val="00205F7C"/>
    <w:rsid w:val="00223920"/>
    <w:rsid w:val="00277144"/>
    <w:rsid w:val="002B3727"/>
    <w:rsid w:val="00333D19"/>
    <w:rsid w:val="00385EFE"/>
    <w:rsid w:val="003D112A"/>
    <w:rsid w:val="00416DFD"/>
    <w:rsid w:val="004214F3"/>
    <w:rsid w:val="00440AE6"/>
    <w:rsid w:val="00440BC3"/>
    <w:rsid w:val="004560C6"/>
    <w:rsid w:val="004868C6"/>
    <w:rsid w:val="005149AA"/>
    <w:rsid w:val="0052389F"/>
    <w:rsid w:val="005B5867"/>
    <w:rsid w:val="005D01C0"/>
    <w:rsid w:val="005D3916"/>
    <w:rsid w:val="00664D7B"/>
    <w:rsid w:val="0069222E"/>
    <w:rsid w:val="006B0C77"/>
    <w:rsid w:val="006D371E"/>
    <w:rsid w:val="007327E1"/>
    <w:rsid w:val="00764CF1"/>
    <w:rsid w:val="00777FE9"/>
    <w:rsid w:val="007A6A32"/>
    <w:rsid w:val="0083515A"/>
    <w:rsid w:val="00850CD0"/>
    <w:rsid w:val="008A4C97"/>
    <w:rsid w:val="00923870"/>
    <w:rsid w:val="00953A13"/>
    <w:rsid w:val="0097692F"/>
    <w:rsid w:val="009F7B73"/>
    <w:rsid w:val="00A0024D"/>
    <w:rsid w:val="00AA213C"/>
    <w:rsid w:val="00AE25B9"/>
    <w:rsid w:val="00B057B9"/>
    <w:rsid w:val="00B23515"/>
    <w:rsid w:val="00B551A3"/>
    <w:rsid w:val="00BB3AB4"/>
    <w:rsid w:val="00BD4D81"/>
    <w:rsid w:val="00BF3973"/>
    <w:rsid w:val="00C20C21"/>
    <w:rsid w:val="00C277B2"/>
    <w:rsid w:val="00C43108"/>
    <w:rsid w:val="00C47ED6"/>
    <w:rsid w:val="00C50B43"/>
    <w:rsid w:val="00C939A0"/>
    <w:rsid w:val="00C93E8C"/>
    <w:rsid w:val="00CB53A8"/>
    <w:rsid w:val="00CD0C89"/>
    <w:rsid w:val="00D1157B"/>
    <w:rsid w:val="00D45D0A"/>
    <w:rsid w:val="00D63AF5"/>
    <w:rsid w:val="00E40147"/>
    <w:rsid w:val="00F158D9"/>
    <w:rsid w:val="00F31623"/>
    <w:rsid w:val="00F669A5"/>
    <w:rsid w:val="00FB524C"/>
    <w:rsid w:val="00FD5E30"/>
    <w:rsid w:val="010000F0"/>
    <w:rsid w:val="02DF57A3"/>
    <w:rsid w:val="05B6458F"/>
    <w:rsid w:val="05E84DDE"/>
    <w:rsid w:val="066731D1"/>
    <w:rsid w:val="06853C06"/>
    <w:rsid w:val="069C40D7"/>
    <w:rsid w:val="06EC74DC"/>
    <w:rsid w:val="07D59900"/>
    <w:rsid w:val="09DB2564"/>
    <w:rsid w:val="0B5036E2"/>
    <w:rsid w:val="0B6B22C9"/>
    <w:rsid w:val="0BC86F9A"/>
    <w:rsid w:val="0CA81BC7"/>
    <w:rsid w:val="0ECE5049"/>
    <w:rsid w:val="0FD9610F"/>
    <w:rsid w:val="10427E22"/>
    <w:rsid w:val="10822155"/>
    <w:rsid w:val="10F57F3C"/>
    <w:rsid w:val="1319560A"/>
    <w:rsid w:val="13B66003"/>
    <w:rsid w:val="13C46A1B"/>
    <w:rsid w:val="15E50ECA"/>
    <w:rsid w:val="17CFAF28"/>
    <w:rsid w:val="19726F19"/>
    <w:rsid w:val="1AF51BB0"/>
    <w:rsid w:val="1B067CAE"/>
    <w:rsid w:val="1D412E8A"/>
    <w:rsid w:val="1DC0707A"/>
    <w:rsid w:val="1DE7D0F9"/>
    <w:rsid w:val="1E466AE7"/>
    <w:rsid w:val="1F1B6EFB"/>
    <w:rsid w:val="1FFF1DB1"/>
    <w:rsid w:val="23241284"/>
    <w:rsid w:val="233F60BE"/>
    <w:rsid w:val="243065AF"/>
    <w:rsid w:val="246833F2"/>
    <w:rsid w:val="249078D1"/>
    <w:rsid w:val="24D232F5"/>
    <w:rsid w:val="259A3A7F"/>
    <w:rsid w:val="26633E71"/>
    <w:rsid w:val="276FCDAF"/>
    <w:rsid w:val="27FEBDA8"/>
    <w:rsid w:val="285F1712"/>
    <w:rsid w:val="29310257"/>
    <w:rsid w:val="29CC61D1"/>
    <w:rsid w:val="2A26506E"/>
    <w:rsid w:val="2ABD36F1"/>
    <w:rsid w:val="2C1307C0"/>
    <w:rsid w:val="2D1B54A6"/>
    <w:rsid w:val="2DC71269"/>
    <w:rsid w:val="2FE54F50"/>
    <w:rsid w:val="300B236E"/>
    <w:rsid w:val="35CD7559"/>
    <w:rsid w:val="37FB79ED"/>
    <w:rsid w:val="38074E65"/>
    <w:rsid w:val="3A6D5B37"/>
    <w:rsid w:val="3B021A53"/>
    <w:rsid w:val="3BCE2B3D"/>
    <w:rsid w:val="3E752F81"/>
    <w:rsid w:val="3EB71900"/>
    <w:rsid w:val="3F7F65A3"/>
    <w:rsid w:val="3FF67554"/>
    <w:rsid w:val="3FF7135C"/>
    <w:rsid w:val="3FFF1346"/>
    <w:rsid w:val="400B3158"/>
    <w:rsid w:val="408910AC"/>
    <w:rsid w:val="417E300F"/>
    <w:rsid w:val="48BB76E5"/>
    <w:rsid w:val="49687449"/>
    <w:rsid w:val="4AF15640"/>
    <w:rsid w:val="4B486F98"/>
    <w:rsid w:val="4B9CD8D7"/>
    <w:rsid w:val="4BD4C9DD"/>
    <w:rsid w:val="4CDD6094"/>
    <w:rsid w:val="516407CA"/>
    <w:rsid w:val="52B318F4"/>
    <w:rsid w:val="53CFC2B8"/>
    <w:rsid w:val="547137D8"/>
    <w:rsid w:val="56226FF8"/>
    <w:rsid w:val="564B5B69"/>
    <w:rsid w:val="58DA3BB7"/>
    <w:rsid w:val="5A6D1C6B"/>
    <w:rsid w:val="5AE3B5EC"/>
    <w:rsid w:val="5BE97C7F"/>
    <w:rsid w:val="5E1E4546"/>
    <w:rsid w:val="5E3FA921"/>
    <w:rsid w:val="5EFF02CD"/>
    <w:rsid w:val="5F5F544E"/>
    <w:rsid w:val="5FAF5D5C"/>
    <w:rsid w:val="5FDB2116"/>
    <w:rsid w:val="5FDC0969"/>
    <w:rsid w:val="60917251"/>
    <w:rsid w:val="61DFA41F"/>
    <w:rsid w:val="624F546A"/>
    <w:rsid w:val="628C5F22"/>
    <w:rsid w:val="63AD5DD7"/>
    <w:rsid w:val="63D120A6"/>
    <w:rsid w:val="661F2C0A"/>
    <w:rsid w:val="69BD93C3"/>
    <w:rsid w:val="6AEA0FB9"/>
    <w:rsid w:val="6B981222"/>
    <w:rsid w:val="6BD91AAD"/>
    <w:rsid w:val="6BFE0D3D"/>
    <w:rsid w:val="6F7E952A"/>
    <w:rsid w:val="6FCFD00B"/>
    <w:rsid w:val="6FF1B89D"/>
    <w:rsid w:val="70EE406D"/>
    <w:rsid w:val="72563E57"/>
    <w:rsid w:val="7533DA18"/>
    <w:rsid w:val="75811566"/>
    <w:rsid w:val="75957DD4"/>
    <w:rsid w:val="762A7318"/>
    <w:rsid w:val="76BFF7D8"/>
    <w:rsid w:val="77F77594"/>
    <w:rsid w:val="786F17CF"/>
    <w:rsid w:val="79DBB92A"/>
    <w:rsid w:val="79DF026E"/>
    <w:rsid w:val="79FFEAD3"/>
    <w:rsid w:val="7BF55DC3"/>
    <w:rsid w:val="7BFA1CF7"/>
    <w:rsid w:val="7CD52E76"/>
    <w:rsid w:val="7D3FED18"/>
    <w:rsid w:val="7D8E0949"/>
    <w:rsid w:val="7DE3AD26"/>
    <w:rsid w:val="7DEF532B"/>
    <w:rsid w:val="7DFB1115"/>
    <w:rsid w:val="7E2D6C79"/>
    <w:rsid w:val="7E6E6078"/>
    <w:rsid w:val="7EE2322F"/>
    <w:rsid w:val="7F57B02B"/>
    <w:rsid w:val="7F741525"/>
    <w:rsid w:val="7FF48B15"/>
    <w:rsid w:val="7FFF2E4C"/>
    <w:rsid w:val="9A6C5B55"/>
    <w:rsid w:val="9AEF0F04"/>
    <w:rsid w:val="9EFF2CC3"/>
    <w:rsid w:val="9FE7628F"/>
    <w:rsid w:val="A5FFD9AB"/>
    <w:rsid w:val="AEFF9824"/>
    <w:rsid w:val="B5FC8188"/>
    <w:rsid w:val="BDBD7FBA"/>
    <w:rsid w:val="BF3EB704"/>
    <w:rsid w:val="BF5B30CB"/>
    <w:rsid w:val="BFEE32A6"/>
    <w:rsid w:val="D8DA7108"/>
    <w:rsid w:val="DDEFDC7A"/>
    <w:rsid w:val="DF659660"/>
    <w:rsid w:val="DF73FE83"/>
    <w:rsid w:val="E5FFF9E8"/>
    <w:rsid w:val="E73BEEFF"/>
    <w:rsid w:val="ECFFF6BE"/>
    <w:rsid w:val="EEEFBE35"/>
    <w:rsid w:val="EF3F8EB7"/>
    <w:rsid w:val="EF634699"/>
    <w:rsid w:val="EFFFFF9A"/>
    <w:rsid w:val="F53FFB42"/>
    <w:rsid w:val="F7CF29FF"/>
    <w:rsid w:val="F7FEFDEA"/>
    <w:rsid w:val="FBBD2F79"/>
    <w:rsid w:val="FBF74777"/>
    <w:rsid w:val="FCFB5D1F"/>
    <w:rsid w:val="FDFE27DC"/>
    <w:rsid w:val="FF6FF8DB"/>
    <w:rsid w:val="FFCED3E5"/>
    <w:rsid w:val="FFCEFCED"/>
    <w:rsid w:val="FFEFBE28"/>
    <w:rsid w:val="FFFE5A3E"/>
    <w:rsid w:val="FFFFF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Balloon Text"/>
    <w:basedOn w:val="1"/>
    <w:link w:val="10"/>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4"/>
    <w:qFormat/>
    <w:uiPriority w:val="0"/>
    <w:rPr>
      <w:kern w:val="2"/>
      <w:sz w:val="18"/>
      <w:szCs w:val="18"/>
    </w:rPr>
  </w:style>
  <w:style w:type="character" w:customStyle="1" w:styleId="11">
    <w:name w:val="页脚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1594</Words>
  <Characters>1708</Characters>
  <Lines>8</Lines>
  <Paragraphs>2</Paragraphs>
  <TotalTime>26</TotalTime>
  <ScaleCrop>false</ScaleCrop>
  <LinksUpToDate>false</LinksUpToDate>
  <CharactersWithSpaces>1741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2018-04-06T07:30:00Z</dcterms:created>
  <dc:creator>蔡泽璇</dc:creator>
  <cp:lastModifiedBy>王梓瞳</cp:lastModifiedBy>
  <cp:lastPrinted>2022-12-05T03:37:00Z</cp:lastPrinted>
  <dcterms:modified xsi:type="dcterms:W3CDTF">2023-04-07T18:10:50Z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008716EB8535460DB88B130AAF1045D3</vt:lpwstr>
  </property>
</Properties>
</file>