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年电子商务创新发展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扶持计划网络零售额纳统贡献奖励项目拟奖励项目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</w:p>
    <w:tbl>
      <w:tblPr>
        <w:tblStyle w:val="2"/>
        <w:tblW w:w="8450" w:type="dxa"/>
        <w:tblInd w:w="2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757"/>
        <w:gridCol w:w="3817"/>
        <w:gridCol w:w="1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具体项目名称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奖励金额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深圳宜家家居有限公司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勃狄（深圳）化妆品有限公司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深圳明达丰贸易有限公司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深圳市加减生活科技有限公司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深圳市海旺电器有限公司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深圳市银诺嘉信贸易有限公司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深圳市扬笛信息传媒有限公司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深圳市可拉智家科技有限公司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深圳市周六福零售电商有限公司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深圳市豆柴宠物用品有限公司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深圳淘金数码有限公司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深圳市得乐领创科技发展有限公司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深圳越好数码有限公司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云仓优选科技（深圳）有限公司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深圳市亿科光电有限公司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深圳高盛品牌管理有限公司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深圳市龙兴汽车科技有限公司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深圳市悦行热路科技有限公司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深圳市深业丰农优品科技有限公司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深圳龙观汽车科技有限公司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深圳市理然化妆品有限公司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深圳前海麦格美科技有限公司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网络零售额纳统贡献奖励项目（首次纳统）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深圳市富安娜电子商务有限公司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网络零售额纳统贡献奖励项目（增长奖励）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深圳市高飞易科技有限公司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网络零售额纳统贡献奖励项目（增长奖励）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迪阿股份有限公司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网络零售额纳统贡献奖励项目（增长奖励）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深圳市互联天下信息科技有限公司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网络零售额纳统贡献奖励项目（增长奖励）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深圳分期乐贸易有限公司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网络零售额纳统贡献奖励项目（增长奖励）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深圳沃尔玛百货零售有限公司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网络零售额纳统贡献奖励项目（增长奖励）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F92A9"/>
    <w:rsid w:val="3B3F9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2023-05-04T16:55:00Z</dcterms:created>
  <dc:creator>网站运维(陈梓标)</dc:creator>
  <cp:lastModifiedBy>网站运维(陈梓标)</cp:lastModifiedBy>
  <dcterms:modified xsi:type="dcterms:W3CDTF">2023-05-04T16:56:06Z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