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ascii="黑体" w:hAnsi="黑体" w:eastAsia="黑体"/>
          <w:sz w:val="32"/>
          <w:szCs w:val="32"/>
        </w:rPr>
        <w:t>附件</w:t>
      </w:r>
      <w:bookmarkStart w:id="0" w:name="_GoBack"/>
      <w:bookmarkEnd w:id="0"/>
    </w:p>
    <w:p>
      <w:pPr>
        <w:rPr>
          <w:rFonts w:hint="eastAsia" w:ascii="黑体" w:hAnsi="黑体" w:eastAsia="黑体"/>
          <w:sz w:val="32"/>
          <w:szCs w:val="32"/>
          <w:lang w:val="en-US" w:eastAsia="zh-CN"/>
        </w:rPr>
      </w:pPr>
    </w:p>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202</w:t>
      </w:r>
      <w:r>
        <w:rPr>
          <w:rFonts w:hint="eastAsia" w:ascii="仿宋_GB2312" w:hAnsi="宋体" w:eastAsia="仿宋_GB2312" w:cs="宋体"/>
          <w:color w:val="000000"/>
          <w:kern w:val="0"/>
          <w:sz w:val="28"/>
          <w:szCs w:val="28"/>
          <w:lang w:val="en-US" w:eastAsia="zh-CN"/>
        </w:rPr>
        <w:t>3</w:t>
      </w:r>
      <w:r>
        <w:rPr>
          <w:rFonts w:hint="eastAsia" w:ascii="仿宋_GB2312" w:hAnsi="宋体" w:eastAsia="仿宋_GB2312" w:cs="宋体"/>
          <w:color w:val="000000"/>
          <w:kern w:val="0"/>
          <w:sz w:val="28"/>
          <w:szCs w:val="28"/>
        </w:rPr>
        <w:t>年度市生态环境专项资金第</w:t>
      </w:r>
      <w:r>
        <w:rPr>
          <w:rFonts w:hint="eastAsia" w:ascii="仿宋_GB2312" w:hAnsi="宋体" w:eastAsia="仿宋_GB2312" w:cs="宋体"/>
          <w:color w:val="000000"/>
          <w:kern w:val="0"/>
          <w:sz w:val="28"/>
          <w:szCs w:val="28"/>
          <w:lang w:eastAsia="zh-CN"/>
        </w:rPr>
        <w:t>一</w:t>
      </w:r>
      <w:r>
        <w:rPr>
          <w:rFonts w:hint="eastAsia" w:ascii="仿宋_GB2312" w:hAnsi="宋体" w:eastAsia="仿宋_GB2312" w:cs="宋体"/>
          <w:color w:val="000000"/>
          <w:kern w:val="0"/>
          <w:sz w:val="28"/>
          <w:szCs w:val="28"/>
        </w:rPr>
        <w:t>批拟资助项目计划表</w:t>
      </w:r>
    </w:p>
    <w:p>
      <w:pPr>
        <w:jc w:val="righ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单位：元</w:t>
      </w:r>
    </w:p>
    <w:tbl>
      <w:tblPr>
        <w:tblStyle w:val="5"/>
        <w:tblW w:w="5731" w:type="pct"/>
        <w:jc w:val="center"/>
        <w:tblLayout w:type="fixed"/>
        <w:tblCellMar>
          <w:top w:w="0" w:type="dxa"/>
          <w:left w:w="108" w:type="dxa"/>
          <w:bottom w:w="0" w:type="dxa"/>
          <w:right w:w="108" w:type="dxa"/>
        </w:tblCellMar>
      </w:tblPr>
      <w:tblGrid>
        <w:gridCol w:w="784"/>
        <w:gridCol w:w="2294"/>
        <w:gridCol w:w="1358"/>
        <w:gridCol w:w="6064"/>
        <w:gridCol w:w="4050"/>
        <w:gridCol w:w="1697"/>
      </w:tblGrid>
      <w:tr>
        <w:tblPrEx>
          <w:tblCellMar>
            <w:top w:w="0" w:type="dxa"/>
            <w:left w:w="108" w:type="dxa"/>
            <w:bottom w:w="0" w:type="dxa"/>
            <w:right w:w="108" w:type="dxa"/>
          </w:tblCellMar>
        </w:tblPrEx>
        <w:trPr>
          <w:trHeight w:val="375" w:hRule="atLeast"/>
          <w:tblHeader/>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项目名称</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申报单位</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项目内容</w:t>
            </w:r>
          </w:p>
        </w:tc>
        <w:tc>
          <w:tcPr>
            <w:tcW w:w="1246" w:type="pct"/>
            <w:tcBorders>
              <w:top w:val="single" w:color="000000" w:sz="4" w:space="0"/>
              <w:left w:val="single" w:color="000000" w:sz="4" w:space="0"/>
              <w:bottom w:val="single" w:color="000000" w:sz="4" w:space="0"/>
              <w:right w:val="single" w:color="000000" w:sz="4" w:space="0"/>
            </w:tcBorders>
          </w:tcPr>
          <w:p>
            <w:pPr>
              <w:widowControl/>
              <w:jc w:val="center"/>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项目绩效</w:t>
            </w:r>
          </w:p>
        </w:tc>
        <w:tc>
          <w:tcPr>
            <w:tcW w:w="522" w:type="pct"/>
            <w:tcBorders>
              <w:top w:val="single" w:color="000000" w:sz="4" w:space="0"/>
              <w:left w:val="single" w:color="000000" w:sz="4" w:space="0"/>
              <w:bottom w:val="single" w:color="000000" w:sz="4" w:space="0"/>
              <w:right w:val="single" w:color="000000" w:sz="4" w:space="0"/>
            </w:tcBorders>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拟资助金额</w:t>
            </w:r>
          </w:p>
        </w:tc>
      </w:tr>
      <w:tr>
        <w:tblPrEx>
          <w:tblCellMar>
            <w:top w:w="0" w:type="dxa"/>
            <w:left w:w="108" w:type="dxa"/>
            <w:bottom w:w="0" w:type="dxa"/>
            <w:right w:w="108" w:type="dxa"/>
          </w:tblCellMar>
        </w:tblPrEx>
        <w:trPr>
          <w:trHeight w:val="54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（一）污染处理设施更新改造项目</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lang w:val="en-US" w:eastAsia="zh-CN"/>
              </w:rPr>
              <w:t>10</w:t>
            </w:r>
            <w:r>
              <w:rPr>
                <w:rFonts w:hint="eastAsia" w:ascii="仿宋_GB2312" w:hAnsi="宋体" w:eastAsia="仿宋_GB2312" w:cs="宋体"/>
                <w:color w:val="000000"/>
                <w:kern w:val="0"/>
                <w:sz w:val="28"/>
                <w:szCs w:val="28"/>
                <w:lang w:eastAsia="zh-CN"/>
              </w:rPr>
              <w:t>个）</w:t>
            </w:r>
          </w:p>
        </w:tc>
      </w:tr>
      <w:tr>
        <w:tblPrEx>
          <w:tblCellMar>
            <w:top w:w="0" w:type="dxa"/>
            <w:left w:w="108" w:type="dxa"/>
            <w:bottom w:w="0" w:type="dxa"/>
            <w:right w:w="108" w:type="dxa"/>
          </w:tblCellMar>
        </w:tblPrEx>
        <w:trPr>
          <w:trHeight w:val="577"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8"/>
                <w:szCs w:val="28"/>
                <w:lang w:val="en" w:eastAsia="zh-CN"/>
              </w:rPr>
            </w:pPr>
            <w:r>
              <w:rPr>
                <w:rFonts w:hint="default" w:ascii="仿宋_GB2312" w:hAnsi="宋体" w:eastAsia="仿宋_GB2312" w:cs="宋体"/>
                <w:color w:val="000000"/>
                <w:kern w:val="0"/>
                <w:sz w:val="28"/>
                <w:szCs w:val="28"/>
                <w:lang w:val="en" w:eastAsia="zh-CN"/>
              </w:rPr>
              <w:t>1</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盐田垃圾发电厂烟气间活性炭系统</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深圳市能源环保有限公司</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该项目申报建设内容为：对位于烟气处理间内的活性炭储存及供应系统进行利旧改造，更换给料及喷射系统，主要包括：活性炭失重称量式给料机、旋转刮板机、活性炭喷射器、输送风机等。</w:t>
            </w:r>
          </w:p>
        </w:tc>
        <w:tc>
          <w:tcPr>
            <w:tcW w:w="124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项目改造后，通过更换给料及喷射系统，解决了改造前仅能预估活性炭喷入量的缺陷，实现了活性炭系统投加的实时监控，能够定时、定量、均匀地向烟道内喷射粉末活性炭，减少了活性炭外溢的环境污染风险；同时，电气设备更换为防爆设备，降低了焚烧废气处理过程存在的安全风险。</w:t>
            </w: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宋体" w:eastAsia="仿宋_GB2312" w:cs="宋体"/>
                <w:color w:val="000000"/>
                <w:kern w:val="0"/>
                <w:sz w:val="28"/>
                <w:szCs w:val="28"/>
                <w:lang w:val="en-US"/>
              </w:rPr>
            </w:pPr>
            <w:r>
              <w:rPr>
                <w:rFonts w:hint="eastAsia" w:ascii="仿宋_GB2312" w:hAnsi="宋体" w:eastAsia="仿宋_GB2312" w:cs="宋体"/>
                <w:color w:val="000000"/>
                <w:kern w:val="0"/>
                <w:sz w:val="28"/>
                <w:szCs w:val="28"/>
                <w:lang w:val="en-US" w:eastAsia="zh-CN"/>
              </w:rPr>
              <w:t>146750</w:t>
            </w:r>
          </w:p>
        </w:tc>
      </w:tr>
      <w:tr>
        <w:tblPrEx>
          <w:tblCellMar>
            <w:top w:w="0" w:type="dxa"/>
            <w:left w:w="108" w:type="dxa"/>
            <w:bottom w:w="0" w:type="dxa"/>
            <w:right w:w="108" w:type="dxa"/>
          </w:tblCellMar>
        </w:tblPrEx>
        <w:trPr>
          <w:trHeight w:val="90"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_GB2312" w:hAnsi="宋体" w:eastAsia="仿宋_GB2312" w:cs="宋体"/>
                <w:color w:val="000000"/>
                <w:kern w:val="0"/>
                <w:sz w:val="28"/>
                <w:szCs w:val="28"/>
                <w:lang w:val="en" w:eastAsia="zh-CN"/>
              </w:rPr>
            </w:pPr>
            <w:r>
              <w:rPr>
                <w:rFonts w:hint="default" w:ascii="仿宋_GB2312" w:hAnsi="宋体" w:eastAsia="仿宋_GB2312" w:cs="宋体"/>
                <w:color w:val="000000"/>
                <w:kern w:val="0"/>
                <w:sz w:val="28"/>
                <w:szCs w:val="28"/>
                <w:lang w:val="en" w:eastAsia="zh-CN"/>
              </w:rPr>
              <w:t>2</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深圳市深水龙岗污水处理有限公司上洋水质净化厂、龙田水质净化厂、沙田水质净化厂进出水口水质在线监测系统站房升级改造项目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深圳市深水龙岗污水处理有限公司</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该项目申报的建设内容为：</w:t>
            </w:r>
            <w:r>
              <w:rPr>
                <w:rFonts w:hint="eastAsia" w:ascii="仿宋_GB2312" w:hAnsi="宋体" w:eastAsia="仿宋_GB2312" w:cs="宋体"/>
                <w:color w:val="000000"/>
                <w:kern w:val="0"/>
                <w:sz w:val="28"/>
                <w:szCs w:val="28"/>
                <w:lang w:val="en-US" w:eastAsia="zh-CN"/>
              </w:rPr>
              <w:t>更新混合采配水系统（采样器更换为混合采样器），数据控制单元硬件及程序升级，在线 COD/氨氮/总磷/总氮分析仪硬件及程序升级（实现自动标样核查），站房环境设备和辅材安装。</w:t>
            </w:r>
          </w:p>
        </w:tc>
        <w:tc>
          <w:tcPr>
            <w:tcW w:w="1246" w:type="pc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项目改造后，通过实现混合采样和时间等比、流量等比采样等方式，以及每天一次的自动标液核查，以更准确反映仪表的测量精度和稳定性，有效提高数据准确性，全面准确反映水质情况。</w:t>
            </w:r>
          </w:p>
          <w:p>
            <w:pPr>
              <w:widowControl/>
              <w:jc w:val="center"/>
              <w:rPr>
                <w:rFonts w:hint="eastAsia" w:ascii="仿宋_GB2312" w:hAnsi="宋体" w:eastAsia="仿宋_GB2312" w:cs="宋体"/>
                <w:color w:val="000000"/>
                <w:kern w:val="0"/>
                <w:sz w:val="28"/>
                <w:szCs w:val="28"/>
                <w:lang w:val="en-US" w:eastAsia="zh-CN"/>
              </w:rPr>
            </w:pP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465700</w:t>
            </w:r>
          </w:p>
        </w:tc>
      </w:tr>
      <w:tr>
        <w:tblPrEx>
          <w:tblCellMar>
            <w:top w:w="0" w:type="dxa"/>
            <w:left w:w="108" w:type="dxa"/>
            <w:bottom w:w="0" w:type="dxa"/>
            <w:right w:w="108" w:type="dxa"/>
          </w:tblCellMar>
        </w:tblPrEx>
        <w:trPr>
          <w:trHeight w:val="577"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8"/>
                <w:szCs w:val="28"/>
                <w:lang w:val="en" w:eastAsia="zh-CN"/>
              </w:rPr>
            </w:pPr>
            <w:r>
              <w:rPr>
                <w:rFonts w:hint="default" w:ascii="仿宋_GB2312" w:hAnsi="宋体" w:eastAsia="仿宋_GB2312" w:cs="宋体"/>
                <w:color w:val="000000"/>
                <w:kern w:val="0"/>
                <w:sz w:val="28"/>
                <w:szCs w:val="28"/>
                <w:lang w:val="en" w:eastAsia="zh-CN"/>
              </w:rPr>
              <w:t>3</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深圳市深水水头污水处理有限公司葵涌水质净化厂、水头水质净化厂进出水口水质在线监测系统站房升级改造项目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深圳市深水水头污水处理有限公司</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该项目申报建设内容为：更新混合采配水系统（采样器更换为混合采样器），数据控制单元硬件及程序升级， 在线 COD/氨氮/总磷/总氮分析仪硬件及程序升级（实现自动标样核查），站房环境设备和辅材安装。</w:t>
            </w:r>
          </w:p>
        </w:tc>
        <w:tc>
          <w:tcPr>
            <w:tcW w:w="1246" w:type="pc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bidi="ar-SA"/>
              </w:rPr>
              <w:t>项目改造后，通过实现混合采样和时间等比、流量等比采样等方式，以及每天一次的自动标液核查，以更准确反映仪表的测量精度和稳定性，有效提高数据准确性，全面准确反映水质情况。</w:t>
            </w: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204450</w:t>
            </w:r>
          </w:p>
        </w:tc>
      </w:tr>
      <w:tr>
        <w:tblPrEx>
          <w:tblCellMar>
            <w:top w:w="0" w:type="dxa"/>
            <w:left w:w="108" w:type="dxa"/>
            <w:bottom w:w="0" w:type="dxa"/>
            <w:right w:w="108" w:type="dxa"/>
          </w:tblCellMar>
        </w:tblPrEx>
        <w:trPr>
          <w:trHeight w:val="577"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8"/>
                <w:szCs w:val="28"/>
                <w:lang w:val="en" w:eastAsia="zh-CN"/>
              </w:rPr>
            </w:pPr>
            <w:r>
              <w:rPr>
                <w:rFonts w:hint="default" w:ascii="仿宋_GB2312" w:hAnsi="宋体" w:eastAsia="仿宋_GB2312" w:cs="宋体"/>
                <w:color w:val="000000"/>
                <w:kern w:val="0"/>
                <w:sz w:val="28"/>
                <w:szCs w:val="28"/>
                <w:lang w:val="en" w:eastAsia="zh-CN"/>
              </w:rPr>
              <w:t>4</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深圳市布吉水质净化厂二期进出水水质在线监测系统新国标升级改造项目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深圳市楠柏布吉污水处理有限公司</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该项目申报建设内容为：更新混合采配水系统（采样器更换为混合采样器），数据控制单元硬件及程序升级，在线 COD/氨氮/总磷/总氮分析仪硬件及程序升级（实现自动标样核查），站房环境设备和辅材安装。</w:t>
            </w:r>
          </w:p>
        </w:tc>
        <w:tc>
          <w:tcPr>
            <w:tcW w:w="1246" w:type="pc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bidi="ar-SA"/>
              </w:rPr>
              <w:t>项目改造后，通过实现混合采样和时间等比、流量等比采样等方式，以及每天一次的自动标液核查，以更准确反映仪表的测量精度和稳定性，有效提高数据准确性，全面准确反映水质情况。</w:t>
            </w: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95900</w:t>
            </w:r>
          </w:p>
        </w:tc>
      </w:tr>
      <w:tr>
        <w:tblPrEx>
          <w:tblCellMar>
            <w:top w:w="0" w:type="dxa"/>
            <w:left w:w="108" w:type="dxa"/>
            <w:bottom w:w="0" w:type="dxa"/>
            <w:right w:w="108" w:type="dxa"/>
          </w:tblCellMar>
        </w:tblPrEx>
        <w:trPr>
          <w:trHeight w:val="577"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8"/>
                <w:szCs w:val="28"/>
                <w:lang w:val="en" w:eastAsia="zh-CN"/>
              </w:rPr>
            </w:pPr>
            <w:r>
              <w:rPr>
                <w:rFonts w:hint="default" w:ascii="仿宋_GB2312" w:hAnsi="宋体" w:eastAsia="仿宋_GB2312" w:cs="宋体"/>
                <w:color w:val="000000"/>
                <w:kern w:val="0"/>
                <w:sz w:val="28"/>
                <w:szCs w:val="28"/>
                <w:lang w:val="en" w:eastAsia="zh-CN"/>
              </w:rPr>
              <w:t>5</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深圳市深水布吉水质净化有限公司布吉水质净化厂（一期）进出水口水质在线监测系统站房升级改造项目</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深圳市深水布吉水质净化有限公司</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该项目申报建设内容为：更新混合采配水系统和在线分析仪（采样器更换为混合采样器、怡文总氮分析仪更换为 NPW160H总磷/总氮分析仪），数据控制单元硬件及程序升级，在线 COD/氨氮/总磷分析仪硬件及程序升级（实现自动标样核查），站房环境设备和辅材安装。</w:t>
            </w:r>
          </w:p>
        </w:tc>
        <w:tc>
          <w:tcPr>
            <w:tcW w:w="1246" w:type="pc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bidi="ar-SA"/>
              </w:rPr>
              <w:t>项目改造后，通过实现混合采样和时间等比、流量等比采样等方式，以及每天一次的自动标液核查，以更准确反映仪表的测量精度和稳定性，有效提高数据准确性，全面准确反映水质情况。</w:t>
            </w: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177500</w:t>
            </w:r>
          </w:p>
        </w:tc>
      </w:tr>
      <w:tr>
        <w:tblPrEx>
          <w:tblCellMar>
            <w:top w:w="0" w:type="dxa"/>
            <w:left w:w="108" w:type="dxa"/>
            <w:bottom w:w="0" w:type="dxa"/>
            <w:right w:w="108" w:type="dxa"/>
          </w:tblCellMar>
        </w:tblPrEx>
        <w:trPr>
          <w:trHeight w:val="90"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_GB2312" w:hAnsi="宋体" w:eastAsia="仿宋_GB2312" w:cs="宋体"/>
                <w:color w:val="000000"/>
                <w:kern w:val="0"/>
                <w:sz w:val="28"/>
                <w:szCs w:val="28"/>
                <w:lang w:val="en" w:eastAsia="zh-CN"/>
              </w:rPr>
            </w:pPr>
            <w:r>
              <w:rPr>
                <w:rFonts w:hint="default" w:ascii="仿宋_GB2312" w:hAnsi="宋体" w:eastAsia="仿宋_GB2312" w:cs="宋体"/>
                <w:color w:val="000000"/>
                <w:kern w:val="0"/>
                <w:sz w:val="28"/>
                <w:szCs w:val="28"/>
                <w:lang w:val="en" w:eastAsia="zh-CN"/>
              </w:rPr>
              <w:t>6</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油墨工艺有机废气升级改造工程</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深圳迪爱生化学有限公司</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该项目申报的建设内容为：更新原加热搅拌环节有机废气处理装置（工艺为：水喷淋除油+冷凝+催化燃烧），改造后工艺为“冷凝+三层旋流+丝网过滤+催化燃烧，并更新排气筒。</w:t>
            </w:r>
          </w:p>
        </w:tc>
        <w:tc>
          <w:tcPr>
            <w:tcW w:w="1246" w:type="pc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jc w:val="both"/>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bidi="ar-SA"/>
              </w:rPr>
              <w:t>改造前后废气排放口污染物均能达到相应污染物排放标准要求。 改造前挥发性有机物排放量为96.48吨/年，改造后排放量为36.98吨/年，减排量为59.5吨/年，减排率为 61.67%。</w:t>
            </w: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213750</w:t>
            </w:r>
          </w:p>
        </w:tc>
      </w:tr>
      <w:tr>
        <w:tblPrEx>
          <w:tblCellMar>
            <w:top w:w="0" w:type="dxa"/>
            <w:left w:w="108" w:type="dxa"/>
            <w:bottom w:w="0" w:type="dxa"/>
            <w:right w:w="108" w:type="dxa"/>
          </w:tblCellMar>
        </w:tblPrEx>
        <w:trPr>
          <w:trHeight w:val="910"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_GB2312" w:hAnsi="宋体" w:eastAsia="仿宋_GB2312" w:cs="宋体"/>
                <w:color w:val="000000"/>
                <w:kern w:val="0"/>
                <w:sz w:val="28"/>
                <w:szCs w:val="28"/>
                <w:lang w:val="en" w:eastAsia="zh-CN"/>
              </w:rPr>
            </w:pPr>
            <w:r>
              <w:rPr>
                <w:rFonts w:hint="default" w:ascii="仿宋_GB2312" w:hAnsi="宋体" w:eastAsia="仿宋_GB2312" w:cs="宋体"/>
                <w:color w:val="000000"/>
                <w:kern w:val="0"/>
                <w:sz w:val="28"/>
                <w:szCs w:val="28"/>
                <w:lang w:val="en" w:eastAsia="zh-CN"/>
              </w:rPr>
              <w:t>7</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光明水质净化厂除臭系统更新改造项目</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深圳市深水光明水环境有限公司</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该项目申报建设内容为：一期生化反应池除臭装置更新改造：新建69个阀门密封罩、更新144个观察窗密封罩，更换6套除臭塔管线、填料、风机、喷淋管路及配套电气和排水管道。</w:t>
            </w:r>
          </w:p>
        </w:tc>
        <w:tc>
          <w:tcPr>
            <w:tcW w:w="124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该项目改造后废气经</w:t>
            </w:r>
            <w:r>
              <w:rPr>
                <w:rFonts w:hint="eastAsia" w:ascii="仿宋_GB2312" w:hAnsi="宋体" w:eastAsia="仿宋_GB2312" w:cs="宋体"/>
                <w:color w:val="000000"/>
                <w:kern w:val="0"/>
                <w:sz w:val="28"/>
                <w:szCs w:val="28"/>
                <w:lang w:val="en-US" w:eastAsia="zh-CN" w:bidi="ar-SA"/>
              </w:rPr>
              <w:t>两级生物滤池工艺处理后，可降低厂界臭气浓度及恶臭污染物浓度，排放达到《城镇污水处理厂污染物排放标准》（GB18918-2002）厂界一级标准限值要求，且每年可节约自来水约21900m</w:t>
            </w:r>
            <w:r>
              <w:rPr>
                <w:rFonts w:hint="eastAsia" w:ascii="仿宋_GB2312" w:hAnsi="宋体" w:eastAsia="仿宋_GB2312" w:cs="宋体"/>
                <w:color w:val="000000"/>
                <w:kern w:val="0"/>
                <w:sz w:val="28"/>
                <w:szCs w:val="28"/>
                <w:vertAlign w:val="superscript"/>
                <w:lang w:val="en-US" w:eastAsia="zh-CN" w:bidi="ar-SA"/>
              </w:rPr>
              <w:t>3</w:t>
            </w:r>
            <w:r>
              <w:rPr>
                <w:rFonts w:hint="eastAsia" w:ascii="仿宋_GB2312" w:hAnsi="宋体" w:eastAsia="仿宋_GB2312" w:cs="宋体"/>
                <w:color w:val="000000"/>
                <w:kern w:val="0"/>
                <w:sz w:val="28"/>
                <w:szCs w:val="28"/>
                <w:lang w:val="en-US" w:eastAsia="zh-CN" w:bidi="ar-SA"/>
              </w:rPr>
              <w:t>/a。</w:t>
            </w: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2041550</w:t>
            </w:r>
          </w:p>
        </w:tc>
      </w:tr>
      <w:tr>
        <w:tblPrEx>
          <w:tblCellMar>
            <w:top w:w="0" w:type="dxa"/>
            <w:left w:w="108" w:type="dxa"/>
            <w:bottom w:w="0" w:type="dxa"/>
            <w:right w:w="108" w:type="dxa"/>
          </w:tblCellMar>
        </w:tblPrEx>
        <w:trPr>
          <w:trHeight w:val="3256"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_GB2312" w:hAnsi="宋体" w:eastAsia="仿宋_GB2312" w:cs="宋体"/>
                <w:color w:val="000000"/>
                <w:kern w:val="0"/>
                <w:sz w:val="28"/>
                <w:szCs w:val="28"/>
                <w:lang w:val="en" w:eastAsia="zh-CN"/>
              </w:rPr>
            </w:pPr>
            <w:r>
              <w:rPr>
                <w:rFonts w:hint="default" w:ascii="仿宋_GB2312" w:hAnsi="宋体" w:eastAsia="仿宋_GB2312" w:cs="宋体"/>
                <w:color w:val="000000"/>
                <w:kern w:val="0"/>
                <w:sz w:val="28"/>
                <w:szCs w:val="28"/>
                <w:lang w:val="en" w:eastAsia="zh-CN"/>
              </w:rPr>
              <w:t>8</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t2废气处理系统更新改造项目</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TCL华星光电技术有限公司</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该项目申报建设内容为：1.铜酸废气处理系统：增加1套风量</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37000 m</w:t>
            </w:r>
            <w:r>
              <w:rPr>
                <w:rFonts w:hint="eastAsia" w:ascii="仿宋_GB2312" w:hAnsi="宋体" w:eastAsia="仿宋_GB2312" w:cs="宋体"/>
                <w:color w:val="000000"/>
                <w:kern w:val="0"/>
                <w:sz w:val="28"/>
                <w:szCs w:val="28"/>
                <w:vertAlign w:val="superscript"/>
                <w:lang w:val="en-US" w:eastAsia="zh-CN" w:bidi="ar-SA"/>
              </w:rPr>
              <w:t>3</w:t>
            </w:r>
            <w:r>
              <w:rPr>
                <w:rFonts w:hint="eastAsia" w:ascii="仿宋_GB2312" w:hAnsi="宋体" w:eastAsia="仿宋_GB2312" w:cs="宋体"/>
                <w:color w:val="000000"/>
                <w:kern w:val="0"/>
                <w:sz w:val="28"/>
                <w:szCs w:val="28"/>
                <w:lang w:val="en-US" w:eastAsia="zh-CN" w:bidi="ar-SA"/>
              </w:rPr>
              <w:t>/h处理装置（包括 FRP洗涤塔和附属加药系统、补排水系统、</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37000</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m</w:t>
            </w:r>
            <w:r>
              <w:rPr>
                <w:rFonts w:hint="eastAsia" w:ascii="仿宋_GB2312" w:hAnsi="宋体" w:eastAsia="仿宋_GB2312" w:cs="宋体"/>
                <w:color w:val="000000"/>
                <w:kern w:val="0"/>
                <w:sz w:val="28"/>
                <w:szCs w:val="28"/>
                <w:vertAlign w:val="superscript"/>
                <w:lang w:val="en-US" w:eastAsia="zh-CN" w:bidi="ar-SA"/>
              </w:rPr>
              <w:t>3</w:t>
            </w:r>
            <w:r>
              <w:rPr>
                <w:rFonts w:hint="eastAsia" w:ascii="仿宋_GB2312" w:hAnsi="宋体" w:eastAsia="仿宋_GB2312" w:cs="宋体"/>
                <w:color w:val="000000"/>
                <w:kern w:val="0"/>
                <w:sz w:val="28"/>
                <w:szCs w:val="28"/>
                <w:lang w:val="en-US" w:eastAsia="zh-CN" w:bidi="ar-SA"/>
              </w:rPr>
              <w:t>/h FRP风机及相关控制系统、电力系统等），将原有一根内径为1.1</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m的排气筒更换成内径为</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1.5</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m排气筒。2.碱性废气处理系统：将原有1套风量</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37000 m</w:t>
            </w:r>
            <w:r>
              <w:rPr>
                <w:rFonts w:hint="eastAsia" w:ascii="仿宋_GB2312" w:hAnsi="宋体" w:eastAsia="仿宋_GB2312" w:cs="宋体"/>
                <w:color w:val="000000"/>
                <w:kern w:val="0"/>
                <w:sz w:val="28"/>
                <w:szCs w:val="28"/>
                <w:vertAlign w:val="superscript"/>
                <w:lang w:val="en-US" w:eastAsia="zh-CN" w:bidi="ar-SA"/>
              </w:rPr>
              <w:t>3</w:t>
            </w:r>
            <w:r>
              <w:rPr>
                <w:rFonts w:hint="eastAsia" w:ascii="仿宋_GB2312" w:hAnsi="宋体" w:eastAsia="仿宋_GB2312" w:cs="宋体"/>
                <w:color w:val="000000"/>
                <w:kern w:val="0"/>
                <w:sz w:val="28"/>
                <w:szCs w:val="28"/>
                <w:lang w:val="en-US" w:eastAsia="zh-CN" w:bidi="ar-SA"/>
              </w:rPr>
              <w:t>/h处理装置拆除（拆除后的洗涤塔和风机移至铜酸废气处理用），更换为风量</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48000</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m</w:t>
            </w:r>
            <w:r>
              <w:rPr>
                <w:rFonts w:hint="eastAsia" w:ascii="仿宋_GB2312" w:hAnsi="宋体" w:eastAsia="仿宋_GB2312" w:cs="宋体"/>
                <w:color w:val="000000"/>
                <w:kern w:val="0"/>
                <w:sz w:val="28"/>
                <w:szCs w:val="28"/>
                <w:vertAlign w:val="superscript"/>
                <w:lang w:val="en-US" w:eastAsia="zh-CN" w:bidi="ar-SA"/>
              </w:rPr>
              <w:t>3</w:t>
            </w:r>
            <w:r>
              <w:rPr>
                <w:rFonts w:hint="eastAsia" w:ascii="仿宋_GB2312" w:hAnsi="宋体" w:eastAsia="仿宋_GB2312" w:cs="宋体"/>
                <w:color w:val="000000"/>
                <w:kern w:val="0"/>
                <w:sz w:val="28"/>
                <w:szCs w:val="28"/>
                <w:lang w:val="en-US" w:eastAsia="zh-CN" w:bidi="ar-SA"/>
              </w:rPr>
              <w:t>/h处理装置（包括FRP洗涤塔和附属加药系统、补排水系统、48000 m</w:t>
            </w:r>
            <w:r>
              <w:rPr>
                <w:rFonts w:hint="eastAsia" w:ascii="仿宋_GB2312" w:hAnsi="宋体" w:eastAsia="仿宋_GB2312" w:cs="宋体"/>
                <w:color w:val="000000"/>
                <w:kern w:val="0"/>
                <w:sz w:val="28"/>
                <w:szCs w:val="28"/>
                <w:vertAlign w:val="superscript"/>
                <w:lang w:val="en-US" w:eastAsia="zh-CN" w:bidi="ar-SA"/>
              </w:rPr>
              <w:t>3</w:t>
            </w:r>
            <w:r>
              <w:rPr>
                <w:rFonts w:hint="eastAsia" w:ascii="仿宋_GB2312" w:hAnsi="宋体" w:eastAsia="仿宋_GB2312" w:cs="宋体"/>
                <w:color w:val="000000"/>
                <w:kern w:val="0"/>
                <w:sz w:val="28"/>
                <w:szCs w:val="28"/>
                <w:lang w:val="en-US" w:eastAsia="zh-CN" w:bidi="ar-SA"/>
              </w:rPr>
              <w:t>/h FRP风机及相关控制系统、电力系统等)， 将原有一根内径为</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0.95</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m的排气筒更换成内径为</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1.1</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m的排气筒。3.CVD废气处理系统：增加2套25800 m</w:t>
            </w:r>
            <w:r>
              <w:rPr>
                <w:rFonts w:hint="eastAsia" w:ascii="仿宋_GB2312" w:hAnsi="宋体" w:eastAsia="仿宋_GB2312" w:cs="宋体"/>
                <w:color w:val="000000"/>
                <w:kern w:val="0"/>
                <w:sz w:val="28"/>
                <w:szCs w:val="28"/>
                <w:vertAlign w:val="superscript"/>
                <w:lang w:val="en-US" w:eastAsia="zh-CN" w:bidi="ar-SA"/>
              </w:rPr>
              <w:t>3</w:t>
            </w:r>
            <w:r>
              <w:rPr>
                <w:rFonts w:hint="eastAsia" w:ascii="仿宋_GB2312" w:hAnsi="宋体" w:eastAsia="仿宋_GB2312" w:cs="宋体"/>
                <w:color w:val="000000"/>
                <w:kern w:val="0"/>
                <w:sz w:val="28"/>
                <w:szCs w:val="28"/>
                <w:lang w:val="en-US" w:eastAsia="zh-CN" w:bidi="ar-SA"/>
              </w:rPr>
              <w:t>/h集尘机及其附属控制系统，增加2套30000 m</w:t>
            </w:r>
            <w:r>
              <w:rPr>
                <w:rFonts w:hint="eastAsia" w:ascii="仿宋_GB2312" w:hAnsi="宋体" w:eastAsia="仿宋_GB2312" w:cs="宋体"/>
                <w:color w:val="000000"/>
                <w:kern w:val="0"/>
                <w:sz w:val="28"/>
                <w:szCs w:val="28"/>
                <w:vertAlign w:val="superscript"/>
                <w:lang w:val="en-US" w:eastAsia="zh-CN" w:bidi="ar-SA"/>
              </w:rPr>
              <w:t>3</w:t>
            </w:r>
            <w:r>
              <w:rPr>
                <w:rFonts w:hint="eastAsia" w:ascii="仿宋_GB2312" w:hAnsi="宋体" w:eastAsia="仿宋_GB2312" w:cs="宋体"/>
                <w:color w:val="000000"/>
                <w:kern w:val="0"/>
                <w:sz w:val="28"/>
                <w:szCs w:val="28"/>
                <w:lang w:val="en-US" w:eastAsia="zh-CN" w:bidi="ar-SA"/>
              </w:rPr>
              <w:t>/h一次风机及其附属电力控制系统，增加1套风量50000 m</w:t>
            </w:r>
            <w:r>
              <w:rPr>
                <w:rFonts w:hint="eastAsia" w:ascii="仿宋_GB2312" w:hAnsi="宋体" w:eastAsia="仿宋_GB2312" w:cs="宋体"/>
                <w:color w:val="000000"/>
                <w:kern w:val="0"/>
                <w:sz w:val="28"/>
                <w:szCs w:val="28"/>
                <w:vertAlign w:val="superscript"/>
                <w:lang w:val="en-US" w:eastAsia="zh-CN" w:bidi="ar-SA"/>
              </w:rPr>
              <w:t>3</w:t>
            </w:r>
            <w:r>
              <w:rPr>
                <w:rFonts w:hint="eastAsia" w:ascii="仿宋_GB2312" w:hAnsi="宋体" w:eastAsia="仿宋_GB2312" w:cs="宋体"/>
                <w:color w:val="000000"/>
                <w:kern w:val="0"/>
                <w:sz w:val="28"/>
                <w:szCs w:val="28"/>
                <w:lang w:val="en-US" w:eastAsia="zh-CN" w:bidi="ar-SA"/>
              </w:rPr>
              <w:t>/h处理装置（包括三段式立式洗涤塔和附属加药系统、补排水系统、50000</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m</w:t>
            </w:r>
            <w:r>
              <w:rPr>
                <w:rFonts w:hint="eastAsia" w:ascii="仿宋_GB2312" w:hAnsi="宋体" w:eastAsia="仿宋_GB2312" w:cs="宋体"/>
                <w:color w:val="000000"/>
                <w:kern w:val="0"/>
                <w:sz w:val="28"/>
                <w:szCs w:val="28"/>
                <w:vertAlign w:val="superscript"/>
                <w:lang w:val="en-US" w:eastAsia="zh-CN" w:bidi="ar-SA"/>
              </w:rPr>
              <w:t>3</w:t>
            </w:r>
            <w:r>
              <w:rPr>
                <w:rFonts w:hint="eastAsia" w:ascii="仿宋_GB2312" w:hAnsi="宋体" w:eastAsia="仿宋_GB2312" w:cs="宋体"/>
                <w:color w:val="000000"/>
                <w:kern w:val="0"/>
                <w:sz w:val="28"/>
                <w:szCs w:val="28"/>
                <w:lang w:val="en-US" w:eastAsia="zh-CN" w:bidi="ar-SA"/>
              </w:rPr>
              <w:t>/h FRP风机及相关控制系统、电力系统等），将原有一根内径为1.0</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m的排气筒更换成内径为1.6</w:t>
            </w:r>
            <w:r>
              <w:rPr>
                <w:rFonts w:hint="default" w:ascii="仿宋_GB2312" w:eastAsia="仿宋_GB2312" w:cs="宋体"/>
                <w:color w:val="000000"/>
                <w:kern w:val="0"/>
                <w:sz w:val="28"/>
                <w:szCs w:val="28"/>
                <w:lang w:val="en" w:eastAsia="zh-CN" w:bidi="ar-SA"/>
              </w:rPr>
              <w:t xml:space="preserve"> </w:t>
            </w:r>
            <w:r>
              <w:rPr>
                <w:rFonts w:hint="eastAsia" w:ascii="仿宋_GB2312" w:hAnsi="宋体" w:eastAsia="仿宋_GB2312" w:cs="宋体"/>
                <w:color w:val="000000"/>
                <w:kern w:val="0"/>
                <w:sz w:val="28"/>
                <w:szCs w:val="28"/>
                <w:lang w:val="en-US" w:eastAsia="zh-CN" w:bidi="ar-SA"/>
              </w:rPr>
              <w:t>m排气简。</w:t>
            </w:r>
          </w:p>
        </w:tc>
        <w:tc>
          <w:tcPr>
            <w:tcW w:w="124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改造后系统工艺废气中的氯化氢、硫酸雾、氮氧化物、氟化物、颗粒物、 非甲烷总烃等排放满足广东省《大气污染物排放限值》（DB44/27-2001）中的第二时段二级标准限值要求，氨排放满足《恶臭污染物排放标准》（GB14554-93）中的二级标准限值要求。不仅能稳定达标排放，有效地提高铜酸废气处理、碱性废气处理以及CVD废气处理系统的废气处理能力，进一步保证了废气处理效率，降低了系统运行风险，取得了较好的环境效益。</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widowControl/>
              <w:jc w:val="center"/>
              <w:rPr>
                <w:rFonts w:hint="eastAsia" w:ascii="仿宋_GB2312" w:hAnsi="宋体" w:eastAsia="仿宋_GB2312" w:cs="宋体"/>
                <w:color w:val="000000"/>
                <w:kern w:val="0"/>
                <w:sz w:val="28"/>
                <w:szCs w:val="28"/>
                <w:lang w:val="en-US" w:eastAsia="zh-CN"/>
              </w:rPr>
            </w:pP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3600750</w:t>
            </w:r>
          </w:p>
        </w:tc>
      </w:tr>
      <w:tr>
        <w:tblPrEx>
          <w:tblCellMar>
            <w:top w:w="0" w:type="dxa"/>
            <w:left w:w="108" w:type="dxa"/>
            <w:bottom w:w="0" w:type="dxa"/>
            <w:right w:w="108" w:type="dxa"/>
          </w:tblCellMar>
        </w:tblPrEx>
        <w:trPr>
          <w:trHeight w:val="197"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仿宋_GB2312" w:hAnsi="宋体" w:eastAsia="仿宋_GB2312" w:cs="宋体"/>
                <w:color w:val="000000"/>
                <w:kern w:val="0"/>
                <w:sz w:val="28"/>
                <w:szCs w:val="28"/>
                <w:lang w:val="en" w:eastAsia="zh-CN"/>
              </w:rPr>
            </w:pPr>
            <w:r>
              <w:rPr>
                <w:rFonts w:hint="default" w:ascii="仿宋_GB2312" w:hAnsi="宋体" w:eastAsia="仿宋_GB2312" w:cs="宋体"/>
                <w:color w:val="000000"/>
                <w:kern w:val="0"/>
                <w:sz w:val="28"/>
                <w:szCs w:val="28"/>
                <w:lang w:val="en" w:eastAsia="zh-CN"/>
              </w:rPr>
              <w:t>9</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仿宋_GB2312" w:eastAsia="仿宋_GB2312" w:cs="仿宋_GB2312"/>
                <w:color w:val="000000"/>
                <w:sz w:val="28"/>
                <w:szCs w:val="28"/>
              </w:rPr>
              <w:t>中川加能公司VOC治理工程</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中川加能美贸易（深圳）有限公司</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该项目申报的建设内容为：</w:t>
            </w:r>
            <w:r>
              <w:rPr>
                <w:rFonts w:hint="eastAsia" w:ascii="仿宋_GB2312" w:hAnsi="宋体" w:eastAsia="仿宋_GB2312" w:cs="宋体"/>
                <w:color w:val="000000"/>
                <w:kern w:val="0"/>
                <w:sz w:val="28"/>
                <w:szCs w:val="28"/>
                <w:lang w:val="en-US" w:eastAsia="zh-CN"/>
              </w:rPr>
              <w:t>1.对原有一楼注塑车间注塑废气、四楼移印车间和烘烤车间喷移印废气进行改造，在原有“收集臂/集气罩”收集后，增设废气净化处理设施，将注塑废气与喷移印废气合并收集后，通过“喷淋塔+活性炭吸附箱（活性炭吸附箱不属于项目申报内容）”净化处理；2.更换注塑车间、喷移印车间和烘烤车间的镀锌排气风管以及天面不锈钢排气风管。</w:t>
            </w:r>
          </w:p>
        </w:tc>
        <w:tc>
          <w:tcPr>
            <w:tcW w:w="1246" w:type="pc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项目改造完成后，喷移印废气中苯、甲苯、二甲苯及总VOCs达到《印刷行业挥发性有机化合物排放标准》（DB44/815-2010）表2的Ⅱ时段排放标准</w:t>
            </w:r>
            <w:r>
              <w:rPr>
                <w:rFonts w:hint="eastAsia" w:ascii="仿宋_GB2312" w:eastAsia="仿宋_GB2312" w:cs="宋体"/>
                <w:color w:val="000000"/>
                <w:kern w:val="0"/>
                <w:sz w:val="28"/>
                <w:szCs w:val="28"/>
                <w:lang w:val="en-US" w:eastAsia="zh-CN"/>
              </w:rPr>
              <w:t>；2021年4-6月与2020年4-6月相比，</w:t>
            </w:r>
            <w:r>
              <w:rPr>
                <w:rFonts w:hint="eastAsia" w:ascii="仿宋_GB2312" w:hAnsi="宋体" w:eastAsia="仿宋_GB2312" w:cs="宋体"/>
                <w:color w:val="000000"/>
                <w:kern w:val="0"/>
                <w:sz w:val="28"/>
                <w:szCs w:val="28"/>
                <w:highlight w:val="none"/>
                <w:lang w:val="en-US" w:eastAsia="zh-CN"/>
              </w:rPr>
              <w:t>可减少喷移印废气VOCs排放量</w:t>
            </w:r>
            <w:r>
              <w:rPr>
                <w:rFonts w:hint="default" w:ascii="仿宋_GB2312" w:eastAsia="仿宋_GB2312" w:cs="宋体"/>
                <w:color w:val="000000"/>
                <w:kern w:val="0"/>
                <w:sz w:val="28"/>
                <w:szCs w:val="28"/>
                <w:highlight w:val="none"/>
                <w:lang w:val="en" w:eastAsia="zh-CN"/>
              </w:rPr>
              <w:t xml:space="preserve"> </w:t>
            </w:r>
            <w:r>
              <w:rPr>
                <w:rFonts w:hint="eastAsia" w:ascii="仿宋_GB2312" w:hAnsi="宋体" w:eastAsia="仿宋_GB2312" w:cs="宋体"/>
                <w:color w:val="000000"/>
                <w:kern w:val="0"/>
                <w:sz w:val="28"/>
                <w:szCs w:val="28"/>
                <w:highlight w:val="none"/>
                <w:lang w:val="en-US" w:eastAsia="zh-CN"/>
              </w:rPr>
              <w:t>0.052</w:t>
            </w:r>
            <w:r>
              <w:rPr>
                <w:rFonts w:hint="default" w:ascii="仿宋_GB2312" w:eastAsia="仿宋_GB2312" w:cs="宋体"/>
                <w:color w:val="000000"/>
                <w:kern w:val="0"/>
                <w:sz w:val="28"/>
                <w:szCs w:val="28"/>
                <w:highlight w:val="none"/>
                <w:lang w:val="en" w:eastAsia="zh-CN"/>
              </w:rPr>
              <w:t xml:space="preserve"> </w:t>
            </w:r>
            <w:r>
              <w:rPr>
                <w:rFonts w:hint="eastAsia" w:ascii="仿宋_GB2312" w:hAnsi="宋体" w:eastAsia="仿宋_GB2312" w:cs="宋体"/>
                <w:color w:val="000000"/>
                <w:kern w:val="0"/>
                <w:sz w:val="28"/>
                <w:szCs w:val="28"/>
                <w:highlight w:val="none"/>
                <w:lang w:val="en-US" w:eastAsia="zh-CN"/>
              </w:rPr>
              <w:t>kg，减少注塑废气VOCs排放量 357 kg。</w:t>
            </w: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宋体"/>
                <w:color w:val="000000"/>
                <w:kern w:val="0"/>
                <w:sz w:val="28"/>
                <w:szCs w:val="28"/>
              </w:rPr>
            </w:pPr>
          </w:p>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353750</w:t>
            </w:r>
          </w:p>
        </w:tc>
      </w:tr>
      <w:tr>
        <w:tblPrEx>
          <w:tblCellMar>
            <w:top w:w="0" w:type="dxa"/>
            <w:left w:w="108" w:type="dxa"/>
            <w:bottom w:w="0" w:type="dxa"/>
            <w:right w:w="108" w:type="dxa"/>
          </w:tblCellMar>
        </w:tblPrEx>
        <w:trPr>
          <w:trHeight w:val="577"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10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环保设施更新改造</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深圳市盛波光电科技有限公司</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仿宋_GB2312" w:hAnsi="宋体" w:eastAsia="仿宋_GB2312" w:cs="宋体"/>
                <w:color w:val="000000"/>
                <w:kern w:val="0"/>
                <w:sz w:val="28"/>
                <w:szCs w:val="28"/>
                <w:highlight w:val="none"/>
                <w:lang w:val="en-US" w:eastAsia="zh-CN" w:bidi="ar-SA"/>
              </w:rPr>
            </w:pPr>
            <w:r>
              <w:rPr>
                <w:rFonts w:hint="eastAsia" w:ascii="仿宋_GB2312" w:hAnsi="宋体" w:eastAsia="仿宋_GB2312" w:cs="宋体"/>
                <w:color w:val="000000"/>
                <w:kern w:val="0"/>
                <w:sz w:val="28"/>
                <w:szCs w:val="28"/>
                <w:highlight w:val="none"/>
                <w:lang w:val="en-US" w:eastAsia="zh-CN" w:bidi="ar-SA"/>
              </w:rPr>
              <w:t>该项目申报建设内容为：1. 4号RTO处理设施改造钢结构支架，外购蓄热材料填装；重建高温强排阀门，新增高温管道连接至现有排气筒。2.废水处理设施：更换接触氧化池的填料、曝气系统及相关辅料，完善防腐涂层、驯养菌种；更换MBR膜池曝气头及管道等配套设施，并将九组MBR膜由拉爆安装改造成滑轨安装，钢结构池配套增设管道和拍你系统；完善废气收集区域（氧化池、沉淀池及钢结构池）恶臭气体收集设施，新增“旋流板式塔+汽水分离器+UV+活性炭箱”装置处理收集到的恶臭气体，并配套建设</w:t>
            </w:r>
            <w:r>
              <w:rPr>
                <w:rFonts w:hint="default" w:ascii="仿宋_GB2312" w:hAnsi="宋体" w:eastAsia="仿宋_GB2312" w:cs="宋体"/>
                <w:color w:val="000000"/>
                <w:kern w:val="0"/>
                <w:sz w:val="28"/>
                <w:szCs w:val="28"/>
                <w:highlight w:val="none"/>
                <w:lang w:val="en" w:eastAsia="zh-CN" w:bidi="ar-SA"/>
              </w:rPr>
              <w:t xml:space="preserve"> </w:t>
            </w:r>
            <w:r>
              <w:rPr>
                <w:rFonts w:hint="eastAsia" w:ascii="仿宋_GB2312" w:hAnsi="宋体" w:eastAsia="仿宋_GB2312" w:cs="宋体"/>
                <w:color w:val="000000"/>
                <w:kern w:val="0"/>
                <w:sz w:val="28"/>
                <w:szCs w:val="28"/>
                <w:highlight w:val="none"/>
                <w:lang w:val="en-US" w:eastAsia="zh-CN" w:bidi="ar-SA"/>
              </w:rPr>
              <w:t>15</w:t>
            </w:r>
            <w:r>
              <w:rPr>
                <w:rFonts w:hint="default" w:ascii="仿宋_GB2312" w:hAnsi="宋体" w:eastAsia="仿宋_GB2312" w:cs="宋体"/>
                <w:color w:val="000000"/>
                <w:kern w:val="0"/>
                <w:sz w:val="28"/>
                <w:szCs w:val="28"/>
                <w:highlight w:val="none"/>
                <w:lang w:val="en" w:eastAsia="zh-CN" w:bidi="ar-SA"/>
              </w:rPr>
              <w:t xml:space="preserve"> </w:t>
            </w:r>
            <w:r>
              <w:rPr>
                <w:rFonts w:hint="eastAsia" w:ascii="仿宋_GB2312" w:hAnsi="宋体" w:eastAsia="仿宋_GB2312" w:cs="宋体"/>
                <w:color w:val="000000"/>
                <w:kern w:val="0"/>
                <w:sz w:val="28"/>
                <w:szCs w:val="28"/>
                <w:highlight w:val="none"/>
                <w:lang w:val="en-US" w:eastAsia="zh-CN" w:bidi="ar-SA"/>
              </w:rPr>
              <w:t>m的排放口及采样平台；完善危险化学品暂存间防腐防渗及围堰，新增一个15t的卧式硫酸储罐替代原有桶装方式，并配套建设硫酸输送管道、控制阀门等设施。3.其他设备和建筑物的更新改造，包括垃圾站新建导流沟、户外增设LED双色显示屏。</w:t>
            </w:r>
          </w:p>
        </w:tc>
        <w:tc>
          <w:tcPr>
            <w:tcW w:w="1246" w:type="pct"/>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rPr>
                <w:rFonts w:hint="eastAsia"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bidi="ar-SA"/>
              </w:rPr>
              <w:t>项目改造后，通过更新完善废水、废气治理等配套设施，可降低环境风险，促进污染物减排，取得较好的环境效益，其中</w:t>
            </w:r>
            <w:r>
              <w:rPr>
                <w:rFonts w:hint="default" w:ascii="仿宋_GB2312" w:eastAsia="仿宋_GB2312" w:cs="宋体"/>
                <w:color w:val="000000"/>
                <w:kern w:val="0"/>
                <w:sz w:val="28"/>
                <w:szCs w:val="28"/>
                <w:highlight w:val="none"/>
                <w:lang w:val="en" w:eastAsia="zh-CN" w:bidi="ar-SA"/>
              </w:rPr>
              <w:t xml:space="preserve"> </w:t>
            </w:r>
            <w:r>
              <w:rPr>
                <w:rFonts w:hint="eastAsia" w:ascii="仿宋_GB2312" w:hAnsi="宋体" w:eastAsia="仿宋_GB2312" w:cs="宋体"/>
                <w:color w:val="000000"/>
                <w:kern w:val="0"/>
                <w:sz w:val="28"/>
                <w:szCs w:val="28"/>
                <w:highlight w:val="none"/>
                <w:lang w:val="en-US" w:eastAsia="zh-CN" w:bidi="ar-SA"/>
              </w:rPr>
              <w:t>COD年减排</w:t>
            </w:r>
            <w:r>
              <w:rPr>
                <w:rFonts w:hint="default" w:ascii="仿宋_GB2312" w:eastAsia="仿宋_GB2312" w:cs="宋体"/>
                <w:color w:val="000000"/>
                <w:kern w:val="0"/>
                <w:sz w:val="28"/>
                <w:szCs w:val="28"/>
                <w:highlight w:val="none"/>
                <w:lang w:val="en" w:eastAsia="zh-CN" w:bidi="ar-SA"/>
              </w:rPr>
              <w:t xml:space="preserve"> </w:t>
            </w:r>
            <w:r>
              <w:rPr>
                <w:rFonts w:hint="eastAsia" w:ascii="仿宋_GB2312" w:hAnsi="宋体" w:eastAsia="仿宋_GB2312" w:cs="宋体"/>
                <w:color w:val="000000"/>
                <w:kern w:val="0"/>
                <w:sz w:val="28"/>
                <w:szCs w:val="28"/>
                <w:highlight w:val="none"/>
                <w:lang w:val="en-US" w:eastAsia="zh-CN" w:bidi="ar-SA"/>
              </w:rPr>
              <w:t>11.76</w:t>
            </w:r>
            <w:r>
              <w:rPr>
                <w:rFonts w:hint="default" w:ascii="仿宋_GB2312" w:eastAsia="仿宋_GB2312" w:cs="宋体"/>
                <w:color w:val="000000"/>
                <w:kern w:val="0"/>
                <w:sz w:val="28"/>
                <w:szCs w:val="28"/>
                <w:highlight w:val="none"/>
                <w:lang w:val="en" w:eastAsia="zh-CN" w:bidi="ar-SA"/>
              </w:rPr>
              <w:t xml:space="preserve"> </w:t>
            </w:r>
            <w:r>
              <w:rPr>
                <w:rFonts w:hint="eastAsia" w:ascii="仿宋_GB2312" w:hAnsi="宋体" w:eastAsia="仿宋_GB2312" w:cs="宋体"/>
                <w:color w:val="000000"/>
                <w:kern w:val="0"/>
                <w:sz w:val="28"/>
                <w:szCs w:val="28"/>
                <w:highlight w:val="none"/>
                <w:lang w:val="en-US" w:eastAsia="zh-CN" w:bidi="ar-SA"/>
              </w:rPr>
              <w:t>t、氨年减排</w:t>
            </w:r>
            <w:r>
              <w:rPr>
                <w:rFonts w:hint="default" w:ascii="仿宋_GB2312" w:eastAsia="仿宋_GB2312" w:cs="宋体"/>
                <w:color w:val="000000"/>
                <w:kern w:val="0"/>
                <w:sz w:val="28"/>
                <w:szCs w:val="28"/>
                <w:highlight w:val="none"/>
                <w:lang w:val="en" w:eastAsia="zh-CN" w:bidi="ar-SA"/>
              </w:rPr>
              <w:t xml:space="preserve"> </w:t>
            </w:r>
            <w:r>
              <w:rPr>
                <w:rFonts w:hint="eastAsia" w:ascii="仿宋_GB2312" w:hAnsi="宋体" w:eastAsia="仿宋_GB2312" w:cs="宋体"/>
                <w:color w:val="000000"/>
                <w:kern w:val="0"/>
                <w:sz w:val="28"/>
                <w:szCs w:val="28"/>
                <w:highlight w:val="none"/>
                <w:lang w:val="en-US" w:eastAsia="zh-CN" w:bidi="ar-SA"/>
              </w:rPr>
              <w:t>47.24</w:t>
            </w:r>
            <w:r>
              <w:rPr>
                <w:rFonts w:hint="default" w:ascii="仿宋_GB2312" w:eastAsia="仿宋_GB2312" w:cs="宋体"/>
                <w:color w:val="000000"/>
                <w:kern w:val="0"/>
                <w:sz w:val="28"/>
                <w:szCs w:val="28"/>
                <w:highlight w:val="none"/>
                <w:lang w:val="en" w:eastAsia="zh-CN" w:bidi="ar-SA"/>
              </w:rPr>
              <w:t xml:space="preserve"> </w:t>
            </w:r>
            <w:r>
              <w:rPr>
                <w:rFonts w:hint="eastAsia" w:ascii="仿宋_GB2312" w:hAnsi="宋体" w:eastAsia="仿宋_GB2312" w:cs="宋体"/>
                <w:color w:val="000000"/>
                <w:kern w:val="0"/>
                <w:sz w:val="28"/>
                <w:szCs w:val="28"/>
                <w:highlight w:val="none"/>
                <w:lang w:val="en-US" w:eastAsia="zh-CN" w:bidi="ar-SA"/>
              </w:rPr>
              <w:t>kg、硫化氢年减排</w:t>
            </w:r>
            <w:r>
              <w:rPr>
                <w:rFonts w:hint="default" w:ascii="仿宋_GB2312" w:eastAsia="仿宋_GB2312" w:cs="宋体"/>
                <w:color w:val="000000"/>
                <w:kern w:val="0"/>
                <w:sz w:val="28"/>
                <w:szCs w:val="28"/>
                <w:highlight w:val="none"/>
                <w:lang w:val="en" w:eastAsia="zh-CN" w:bidi="ar-SA"/>
              </w:rPr>
              <w:t xml:space="preserve"> </w:t>
            </w:r>
            <w:r>
              <w:rPr>
                <w:rFonts w:hint="eastAsia" w:ascii="仿宋_GB2312" w:hAnsi="宋体" w:eastAsia="仿宋_GB2312" w:cs="宋体"/>
                <w:color w:val="000000"/>
                <w:kern w:val="0"/>
                <w:sz w:val="28"/>
                <w:szCs w:val="28"/>
                <w:highlight w:val="none"/>
                <w:lang w:val="en-US" w:eastAsia="zh-CN" w:bidi="ar-SA"/>
              </w:rPr>
              <w:t>1.37</w:t>
            </w:r>
            <w:r>
              <w:rPr>
                <w:rFonts w:hint="default" w:ascii="仿宋_GB2312" w:eastAsia="仿宋_GB2312" w:cs="宋体"/>
                <w:color w:val="000000"/>
                <w:kern w:val="0"/>
                <w:sz w:val="28"/>
                <w:szCs w:val="28"/>
                <w:highlight w:val="none"/>
                <w:lang w:val="en" w:eastAsia="zh-CN" w:bidi="ar-SA"/>
              </w:rPr>
              <w:t xml:space="preserve"> </w:t>
            </w:r>
            <w:r>
              <w:rPr>
                <w:rFonts w:hint="eastAsia" w:ascii="仿宋_GB2312" w:hAnsi="宋体" w:eastAsia="仿宋_GB2312" w:cs="宋体"/>
                <w:color w:val="000000"/>
                <w:kern w:val="0"/>
                <w:sz w:val="28"/>
                <w:szCs w:val="28"/>
                <w:highlight w:val="none"/>
                <w:lang w:val="en-US" w:eastAsia="zh-CN" w:bidi="ar-SA"/>
              </w:rPr>
              <w:t>kg。</w:t>
            </w: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宋体" w:eastAsia="仿宋_GB2312" w:cs="宋体"/>
                <w:color w:val="000000"/>
                <w:kern w:val="0"/>
                <w:sz w:val="28"/>
                <w:szCs w:val="28"/>
                <w:highlight w:val="none"/>
                <w:lang w:val="en-US" w:eastAsia="zh-CN"/>
              </w:rPr>
            </w:pPr>
            <w:r>
              <w:rPr>
                <w:rFonts w:hint="eastAsia" w:ascii="仿宋_GB2312" w:hAnsi="宋体" w:eastAsia="仿宋_GB2312" w:cs="宋体"/>
                <w:color w:val="000000"/>
                <w:kern w:val="0"/>
                <w:sz w:val="28"/>
                <w:szCs w:val="28"/>
                <w:highlight w:val="none"/>
                <w:lang w:val="en-US" w:eastAsia="zh-CN"/>
              </w:rPr>
              <w:t>695000</w:t>
            </w:r>
          </w:p>
        </w:tc>
      </w:tr>
      <w:tr>
        <w:tblPrEx>
          <w:tblCellMar>
            <w:top w:w="0" w:type="dxa"/>
            <w:left w:w="108" w:type="dxa"/>
            <w:bottom w:w="0" w:type="dxa"/>
            <w:right w:w="108" w:type="dxa"/>
          </w:tblCellMar>
        </w:tblPrEx>
        <w:trPr>
          <w:trHeight w:val="577" w:hRule="atLeast"/>
          <w:jc w:val="center"/>
        </w:trPr>
        <w:tc>
          <w:tcPr>
            <w:tcW w:w="447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合计</w:t>
            </w:r>
          </w:p>
        </w:tc>
        <w:tc>
          <w:tcPr>
            <w:tcW w:w="5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7995100</w:t>
            </w:r>
          </w:p>
        </w:tc>
      </w:tr>
    </w:tbl>
    <w:p>
      <w:pPr>
        <w:widowControl/>
        <w:jc w:val="center"/>
        <w:rPr>
          <w:rFonts w:hint="eastAsia" w:ascii="仿宋_GB2312" w:hAnsi="宋体" w:eastAsia="仿宋_GB2312" w:cs="宋体"/>
          <w:color w:val="000000"/>
          <w:kern w:val="0"/>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SGB2312B--GB1-0">
    <w:altName w:val="URW Bookman"/>
    <w:panose1 w:val="00000000000000000000"/>
    <w:charset w:val="00"/>
    <w:family w:val="auto"/>
    <w:pitch w:val="default"/>
    <w:sig w:usb0="00000000" w:usb1="00000000" w:usb2="00000000" w:usb3="00000000" w:csb0="00000000" w:csb1="00000000"/>
  </w:font>
  <w:font w:name="FSGB2312A--GB1-0">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URW Bookman">
    <w:panose1 w:val="000004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2CB5"/>
    <w:rsid w:val="000C44E6"/>
    <w:rsid w:val="001259F0"/>
    <w:rsid w:val="00172A27"/>
    <w:rsid w:val="00202CF4"/>
    <w:rsid w:val="00234318"/>
    <w:rsid w:val="002D2CF5"/>
    <w:rsid w:val="002F0E3F"/>
    <w:rsid w:val="0030105F"/>
    <w:rsid w:val="003040B4"/>
    <w:rsid w:val="00347029"/>
    <w:rsid w:val="00350444"/>
    <w:rsid w:val="00350A43"/>
    <w:rsid w:val="004F2202"/>
    <w:rsid w:val="00714FFA"/>
    <w:rsid w:val="00724FE7"/>
    <w:rsid w:val="00792A2D"/>
    <w:rsid w:val="00845844"/>
    <w:rsid w:val="008C364E"/>
    <w:rsid w:val="008F0963"/>
    <w:rsid w:val="00911713"/>
    <w:rsid w:val="00927118"/>
    <w:rsid w:val="0093175E"/>
    <w:rsid w:val="00960217"/>
    <w:rsid w:val="00960F1A"/>
    <w:rsid w:val="00A42AAA"/>
    <w:rsid w:val="00A55E6A"/>
    <w:rsid w:val="00AE0E64"/>
    <w:rsid w:val="00AF2A40"/>
    <w:rsid w:val="00B3655E"/>
    <w:rsid w:val="00BD7FC0"/>
    <w:rsid w:val="00C14638"/>
    <w:rsid w:val="00E93EC1"/>
    <w:rsid w:val="00EB28A2"/>
    <w:rsid w:val="00F20260"/>
    <w:rsid w:val="00F41420"/>
    <w:rsid w:val="00F54463"/>
    <w:rsid w:val="00F611FB"/>
    <w:rsid w:val="00F9556A"/>
    <w:rsid w:val="10F01E59"/>
    <w:rsid w:val="189467AD"/>
    <w:rsid w:val="26EBC2AC"/>
    <w:rsid w:val="2B9183BA"/>
    <w:rsid w:val="2DEB05F2"/>
    <w:rsid w:val="337632A8"/>
    <w:rsid w:val="33C90D4D"/>
    <w:rsid w:val="3777BA1A"/>
    <w:rsid w:val="38FE0E38"/>
    <w:rsid w:val="3CDF2951"/>
    <w:rsid w:val="3DFFCA5B"/>
    <w:rsid w:val="3EDF5C03"/>
    <w:rsid w:val="3F3DEBB3"/>
    <w:rsid w:val="3FCFB7F0"/>
    <w:rsid w:val="4BFF1A39"/>
    <w:rsid w:val="4DFA3509"/>
    <w:rsid w:val="4EFE2651"/>
    <w:rsid w:val="4F6F4D1F"/>
    <w:rsid w:val="54243A63"/>
    <w:rsid w:val="54794D0F"/>
    <w:rsid w:val="559FA8B8"/>
    <w:rsid w:val="5B7F43C0"/>
    <w:rsid w:val="5BE5B4BC"/>
    <w:rsid w:val="5BFF2D3D"/>
    <w:rsid w:val="5CEAE991"/>
    <w:rsid w:val="5D062E95"/>
    <w:rsid w:val="5DED011F"/>
    <w:rsid w:val="5DFB5DAC"/>
    <w:rsid w:val="5DFB6A66"/>
    <w:rsid w:val="5F1F9105"/>
    <w:rsid w:val="5FFB6C77"/>
    <w:rsid w:val="5FFD6005"/>
    <w:rsid w:val="626F2C07"/>
    <w:rsid w:val="64FE1088"/>
    <w:rsid w:val="657FDE1F"/>
    <w:rsid w:val="65FFD66C"/>
    <w:rsid w:val="677FDF4A"/>
    <w:rsid w:val="6B9F8D42"/>
    <w:rsid w:val="6DBED35C"/>
    <w:rsid w:val="6DDAD222"/>
    <w:rsid w:val="6DFF64FA"/>
    <w:rsid w:val="6DFFA89F"/>
    <w:rsid w:val="6FEB532A"/>
    <w:rsid w:val="6FF64492"/>
    <w:rsid w:val="6FF73331"/>
    <w:rsid w:val="6FF73B58"/>
    <w:rsid w:val="72BAE41B"/>
    <w:rsid w:val="76D13559"/>
    <w:rsid w:val="77BA0CB7"/>
    <w:rsid w:val="77E1644C"/>
    <w:rsid w:val="78CF1ADC"/>
    <w:rsid w:val="7AC75EB5"/>
    <w:rsid w:val="7BAA14AA"/>
    <w:rsid w:val="7D6F85D4"/>
    <w:rsid w:val="7F64070E"/>
    <w:rsid w:val="7F707F2E"/>
    <w:rsid w:val="7FBB671C"/>
    <w:rsid w:val="7FBF91C5"/>
    <w:rsid w:val="7FBFFF8D"/>
    <w:rsid w:val="8D6DA007"/>
    <w:rsid w:val="8E8A98AB"/>
    <w:rsid w:val="8EBF322B"/>
    <w:rsid w:val="99F738F7"/>
    <w:rsid w:val="9FF95C66"/>
    <w:rsid w:val="ADBDB16A"/>
    <w:rsid w:val="AFEF0197"/>
    <w:rsid w:val="BB6F519E"/>
    <w:rsid w:val="BC5F2B5F"/>
    <w:rsid w:val="BEFDC27A"/>
    <w:rsid w:val="BEFFA3CA"/>
    <w:rsid w:val="BF033D41"/>
    <w:rsid w:val="BF6F6B37"/>
    <w:rsid w:val="BF7DA3FE"/>
    <w:rsid w:val="BFDAFA3D"/>
    <w:rsid w:val="BFEF9B5E"/>
    <w:rsid w:val="BFF76486"/>
    <w:rsid w:val="C7FFF8E9"/>
    <w:rsid w:val="C83E3EC9"/>
    <w:rsid w:val="CF7DBBBF"/>
    <w:rsid w:val="CFD3F7AE"/>
    <w:rsid w:val="CFEE5F74"/>
    <w:rsid w:val="D3975B87"/>
    <w:rsid w:val="D5DF7093"/>
    <w:rsid w:val="D71F0853"/>
    <w:rsid w:val="D7DF6FFF"/>
    <w:rsid w:val="D9BFCDD0"/>
    <w:rsid w:val="DCE73D64"/>
    <w:rsid w:val="DDFD203A"/>
    <w:rsid w:val="DFF6DFC6"/>
    <w:rsid w:val="E3EF9F64"/>
    <w:rsid w:val="E5E5E407"/>
    <w:rsid w:val="E8C9AEEB"/>
    <w:rsid w:val="EB3F9F31"/>
    <w:rsid w:val="EB637CCE"/>
    <w:rsid w:val="EF07D4F1"/>
    <w:rsid w:val="EF7F49E0"/>
    <w:rsid w:val="F2722F15"/>
    <w:rsid w:val="F2FC5D9E"/>
    <w:rsid w:val="F37B668A"/>
    <w:rsid w:val="F4FD0605"/>
    <w:rsid w:val="F66FE1A0"/>
    <w:rsid w:val="F9DB9703"/>
    <w:rsid w:val="FB1F5F96"/>
    <w:rsid w:val="FBEA6028"/>
    <w:rsid w:val="FEB6D351"/>
    <w:rsid w:val="FECF890F"/>
    <w:rsid w:val="FEE64B6D"/>
    <w:rsid w:val="FF4B4B0F"/>
    <w:rsid w:val="FF7A498B"/>
    <w:rsid w:val="FF98879B"/>
    <w:rsid w:val="FFD25E91"/>
    <w:rsid w:val="FFD51960"/>
    <w:rsid w:val="FFDED964"/>
    <w:rsid w:val="FFDFCFAB"/>
    <w:rsid w:val="FFE6C241"/>
    <w:rsid w:val="FFF456AF"/>
    <w:rsid w:val="FFFC6354"/>
    <w:rsid w:val="FFFF40B5"/>
    <w:rsid w:val="FFFFF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style01"/>
    <w:basedOn w:val="6"/>
    <w:qFormat/>
    <w:uiPriority w:val="0"/>
    <w:rPr>
      <w:rFonts w:ascii="FSGB2312B--GB1-0" w:hAnsi="FSGB2312B--GB1-0" w:eastAsia="FSGB2312B--GB1-0" w:cs="FSGB2312B--GB1-0"/>
      <w:color w:val="000000"/>
      <w:sz w:val="32"/>
      <w:szCs w:val="32"/>
    </w:rPr>
  </w:style>
  <w:style w:type="character" w:customStyle="1" w:styleId="10">
    <w:name w:val="fontstyle11"/>
    <w:basedOn w:val="6"/>
    <w:qFormat/>
    <w:uiPriority w:val="0"/>
    <w:rPr>
      <w:rFonts w:ascii="FSGB2312A--GB1-0" w:hAnsi="FSGB2312A--GB1-0" w:eastAsia="FSGB2312A--GB1-0" w:cs="FSGB2312A--GB1-0"/>
      <w:color w:val="000000"/>
      <w:sz w:val="32"/>
      <w:szCs w:val="32"/>
    </w:rPr>
  </w:style>
  <w:style w:type="character" w:customStyle="1" w:styleId="11">
    <w:name w:val="fontstyle21"/>
    <w:basedOn w:val="6"/>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226</Words>
  <Characters>1291</Characters>
  <Lines>1</Lines>
  <Paragraphs>1</Paragraphs>
  <TotalTime>4</TotalTime>
  <ScaleCrop>false</ScaleCrop>
  <LinksUpToDate>false</LinksUpToDate>
  <CharactersWithSpaces>1514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2022-08-22T15:26:00Z</dcterms:created>
  <dc:creator>黄子安</dc:creator>
  <cp:lastModifiedBy>whshuang</cp:lastModifiedBy>
  <cp:lastPrinted>2023-05-16T03:49:00Z</cp:lastPrinted>
  <dcterms:modified xsi:type="dcterms:W3CDTF">2023-06-01T09:41:13Z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