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11</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光明区脑科学与类脑智能学术氛围项目申报指南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3"/>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shd w:val="clear" w:color="auto" w:fill="FFFFFF"/>
        </w:rPr>
        <w:t>二、扶持方向及支持标准</w:t>
      </w:r>
      <w:r>
        <w:rPr>
          <w:rFonts w:hint="default" w:ascii="Times New Roman" w:hAnsi="Times New Roman" w:eastAsia="仿宋_GB2312" w:cs="Times New Roman"/>
          <w:sz w:val="32"/>
          <w:szCs w:val="32"/>
          <w:highlight w:val="none"/>
        </w:rPr>
        <w:t xml:space="preserve"> </w:t>
      </w:r>
    </w:p>
    <w:p>
      <w:pPr>
        <w:pageBreakBefore w:val="0"/>
        <w:numPr>
          <w:ilvl w:val="-1"/>
          <w:numId w:val="0"/>
        </w:numPr>
        <w:pBdr>
          <w:bottom w:val="none" w:color="auto" w:sz="0" w:space="0"/>
        </w:pBd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一</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期刊、协会、智库成立资助</w:t>
      </w:r>
      <w:r>
        <w:rPr>
          <w:rFonts w:hint="eastAsia" w:eastAsia="楷体_GB2312" w:cs="Times New Roman"/>
          <w:sz w:val="32"/>
          <w:szCs w:val="32"/>
          <w:lang w:val="en-US" w:eastAsia="zh-CN"/>
        </w:rPr>
        <w:t>项目</w:t>
      </w:r>
      <w:r>
        <w:rPr>
          <w:rFonts w:hint="eastAsia" w:ascii="Times New Roman" w:hAnsi="Times New Roman" w:eastAsia="楷体_GB2312" w:cs="Times New Roman"/>
          <w:sz w:val="32"/>
          <w:szCs w:val="32"/>
          <w:lang w:val="en-US" w:eastAsia="zh-CN"/>
        </w:rPr>
        <w:t>。</w:t>
      </w:r>
    </w:p>
    <w:p>
      <w:pPr>
        <w:spacing w:line="560" w:lineRule="exact"/>
        <w:ind w:firstLine="640" w:firstLineChars="200"/>
        <w:rPr>
          <w:rFonts w:hint="eastAsia" w:ascii="仿宋_GB2312" w:hAnsi="仿宋_GB2312" w:eastAsia="仿宋_GB2312" w:cs="仿宋_GB2312"/>
          <w:b w:val="0"/>
          <w:i w:val="0"/>
          <w:strike w:val="0"/>
          <w:color w:val="000000"/>
          <w:spacing w:val="0"/>
          <w:sz w:val="32"/>
          <w:szCs w:val="32"/>
          <w:highlight w:val="none"/>
          <w:u w:val="none"/>
        </w:rPr>
      </w:pPr>
      <w:r>
        <w:rPr>
          <w:rFonts w:hint="default" w:ascii="Times New Roman" w:hAnsi="Times New Roman" w:eastAsia="楷体_GB2312" w:cs="Times New Roman"/>
          <w:sz w:val="32"/>
          <w:szCs w:val="32"/>
          <w:lang w:eastAsia="zh-CN"/>
        </w:rPr>
        <w:t>支持</w:t>
      </w:r>
      <w:r>
        <w:rPr>
          <w:rFonts w:ascii="Times New Roman" w:hAnsi="Times New Roman" w:eastAsia="楷体_GB2312" w:cs="Times New Roman"/>
          <w:sz w:val="32"/>
          <w:szCs w:val="32"/>
        </w:rPr>
        <w:t>标准</w:t>
      </w:r>
      <w:r>
        <w:rPr>
          <w:rFonts w:hint="eastAsia" w:eastAsia="楷体_GB2312" w:cs="Times New Roman"/>
          <w:sz w:val="32"/>
          <w:szCs w:val="32"/>
          <w:lang w:eastAsia="zh-CN"/>
        </w:rPr>
        <w:t>：</w:t>
      </w:r>
      <w:r>
        <w:rPr>
          <w:rFonts w:hint="eastAsia" w:ascii="仿宋_GB2312" w:hAnsi="仿宋_GB2312" w:eastAsia="仿宋_GB2312" w:cs="仿宋_GB2312"/>
          <w:b w:val="0"/>
          <w:i w:val="0"/>
          <w:strike w:val="0"/>
          <w:color w:val="000000"/>
          <w:spacing w:val="0"/>
          <w:sz w:val="32"/>
          <w:szCs w:val="32"/>
          <w:highlight w:val="none"/>
          <w:u w:val="none"/>
          <w:lang w:val="en-US" w:eastAsia="zh-CN"/>
        </w:rPr>
        <w:t>对经国家级主管部门批准成立的</w:t>
      </w:r>
      <w:r>
        <w:rPr>
          <w:rFonts w:hint="eastAsia" w:ascii="仿宋_GB2312" w:hAnsi="仿宋_GB2312" w:eastAsia="仿宋_GB2312" w:cs="仿宋_GB2312"/>
          <w:b w:val="0"/>
          <w:i w:val="0"/>
          <w:strike w:val="0"/>
          <w:color w:val="000000"/>
          <w:spacing w:val="0"/>
          <w:sz w:val="32"/>
          <w:szCs w:val="32"/>
          <w:highlight w:val="none"/>
          <w:u w:val="none"/>
        </w:rPr>
        <w:t>脑科学与类脑智能</w:t>
      </w:r>
      <w:r>
        <w:rPr>
          <w:rFonts w:hint="eastAsia" w:ascii="仿宋_GB2312" w:hAnsi="仿宋_GB2312" w:eastAsia="仿宋_GB2312" w:cs="仿宋_GB2312"/>
          <w:b w:val="0"/>
          <w:i w:val="0"/>
          <w:strike w:val="0"/>
          <w:color w:val="000000"/>
          <w:spacing w:val="0"/>
          <w:sz w:val="32"/>
          <w:szCs w:val="32"/>
          <w:highlight w:val="none"/>
          <w:u w:val="none"/>
          <w:lang w:val="en-US" w:eastAsia="zh-CN"/>
        </w:rPr>
        <w:t>领域期刊、协会、智库等，给予最高50万元资助；对经省级主管部门批准成立的</w:t>
      </w:r>
      <w:r>
        <w:rPr>
          <w:rFonts w:hint="eastAsia" w:ascii="仿宋_GB2312" w:hAnsi="仿宋_GB2312" w:eastAsia="仿宋_GB2312" w:cs="仿宋_GB2312"/>
          <w:b w:val="0"/>
          <w:i w:val="0"/>
          <w:strike w:val="0"/>
          <w:color w:val="000000"/>
          <w:spacing w:val="0"/>
          <w:sz w:val="32"/>
          <w:szCs w:val="32"/>
          <w:highlight w:val="none"/>
          <w:u w:val="none"/>
        </w:rPr>
        <w:t>脑科学与类脑智能</w:t>
      </w:r>
      <w:r>
        <w:rPr>
          <w:rFonts w:hint="eastAsia" w:ascii="仿宋_GB2312" w:hAnsi="仿宋_GB2312" w:eastAsia="仿宋_GB2312" w:cs="仿宋_GB2312"/>
          <w:b w:val="0"/>
          <w:i w:val="0"/>
          <w:strike w:val="0"/>
          <w:color w:val="000000"/>
          <w:spacing w:val="0"/>
          <w:sz w:val="32"/>
          <w:szCs w:val="32"/>
          <w:highlight w:val="none"/>
          <w:u w:val="none"/>
          <w:lang w:val="en-US" w:eastAsia="zh-CN"/>
        </w:rPr>
        <w:t>领域期刊、协会、智库等，给予最高30万元资助；对经市级主管部门批准成立的</w:t>
      </w:r>
      <w:r>
        <w:rPr>
          <w:rFonts w:hint="eastAsia" w:ascii="仿宋_GB2312" w:hAnsi="仿宋_GB2312" w:eastAsia="仿宋_GB2312" w:cs="仿宋_GB2312"/>
          <w:b w:val="0"/>
          <w:i w:val="0"/>
          <w:strike w:val="0"/>
          <w:color w:val="000000"/>
          <w:spacing w:val="0"/>
          <w:sz w:val="32"/>
          <w:szCs w:val="32"/>
          <w:highlight w:val="none"/>
          <w:u w:val="none"/>
        </w:rPr>
        <w:t>脑科学与类脑智能</w:t>
      </w:r>
      <w:r>
        <w:rPr>
          <w:rFonts w:hint="eastAsia" w:ascii="仿宋_GB2312" w:hAnsi="仿宋_GB2312" w:eastAsia="仿宋_GB2312" w:cs="仿宋_GB2312"/>
          <w:b w:val="0"/>
          <w:i w:val="0"/>
          <w:strike w:val="0"/>
          <w:color w:val="000000"/>
          <w:spacing w:val="0"/>
          <w:sz w:val="32"/>
          <w:szCs w:val="32"/>
          <w:highlight w:val="none"/>
          <w:u w:val="none"/>
          <w:lang w:val="en-US" w:eastAsia="zh-CN"/>
        </w:rPr>
        <w:t>领域期刊、协会、智库等，给予最高10万元资助。</w:t>
      </w:r>
    </w:p>
    <w:p>
      <w:pPr>
        <w:spacing w:line="560" w:lineRule="exact"/>
        <w:ind w:firstLine="640" w:firstLineChars="200"/>
        <w:rPr>
          <w:rFonts w:hint="default"/>
          <w:lang w:eastAsia="zh-Hans"/>
        </w:rPr>
      </w:pPr>
      <w:r>
        <w:rPr>
          <w:rFonts w:ascii="Times New Roman" w:hAnsi="Times New Roman" w:eastAsia="楷体_GB2312" w:cs="Times New Roman"/>
          <w:sz w:val="32"/>
          <w:szCs w:val="32"/>
        </w:rPr>
        <w:t>支持</w:t>
      </w:r>
      <w:r>
        <w:rPr>
          <w:rFonts w:hint="default" w:ascii="Times New Roman" w:hAnsi="Times New Roman" w:eastAsia="楷体_GB2312" w:cs="Times New Roman"/>
          <w:sz w:val="32"/>
          <w:szCs w:val="32"/>
          <w:lang w:eastAsia="zh-CN"/>
        </w:rPr>
        <w:t>方式及</w:t>
      </w:r>
      <w:r>
        <w:rPr>
          <w:rFonts w:ascii="Times New Roman" w:hAnsi="Times New Roman" w:eastAsia="楷体_GB2312" w:cs="Times New Roman"/>
          <w:sz w:val="32"/>
          <w:szCs w:val="32"/>
        </w:rPr>
        <w:t>数量：</w:t>
      </w:r>
      <w:r>
        <w:rPr>
          <w:rFonts w:hint="default" w:ascii="Times New Roman" w:hAnsi="Times New Roman" w:eastAsia="仿宋_GB2312" w:cs="Times New Roman"/>
          <w:sz w:val="32"/>
          <w:szCs w:val="32"/>
          <w:lang w:eastAsia="zh-CN"/>
        </w:rPr>
        <w:t>事后资助</w:t>
      </w:r>
      <w:r>
        <w:rPr>
          <w:rFonts w:hint="eastAsia" w:eastAsia="仿宋_GB2312" w:cs="Times New Roman"/>
          <w:sz w:val="32"/>
          <w:szCs w:val="32"/>
          <w:lang w:eastAsia="zh-CN"/>
        </w:rPr>
        <w:t>，</w:t>
      </w:r>
      <w:r>
        <w:rPr>
          <w:rFonts w:ascii="Times New Roman" w:hAnsi="Times New Roman" w:eastAsia="仿宋_GB2312" w:cs="Times New Roman"/>
          <w:sz w:val="32"/>
          <w:szCs w:val="32"/>
        </w:rPr>
        <w:t>受年度财政预算安排总量控制。</w:t>
      </w:r>
    </w:p>
    <w:p>
      <w:pPr>
        <w:spacing w:line="560" w:lineRule="exact"/>
        <w:ind w:firstLine="640" w:firstLineChars="200"/>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入选期刊奖励</w:t>
      </w:r>
      <w:r>
        <w:rPr>
          <w:rFonts w:hint="eastAsia" w:eastAsia="楷体_GB2312" w:cs="Times New Roman"/>
          <w:sz w:val="32"/>
          <w:szCs w:val="32"/>
          <w:lang w:val="en-US" w:eastAsia="zh-CN"/>
        </w:rPr>
        <w:t>项目</w:t>
      </w:r>
      <w:r>
        <w:rPr>
          <w:rFonts w:hint="eastAsia" w:ascii="Times New Roman" w:hAnsi="Times New Roman" w:eastAsia="楷体_GB2312" w:cs="Times New Roman"/>
          <w:sz w:val="32"/>
          <w:szCs w:val="32"/>
          <w:lang w:val="en-US" w:eastAsia="zh-CN"/>
        </w:rPr>
        <w:t>。</w:t>
      </w:r>
    </w:p>
    <w:p>
      <w:pPr>
        <w:spacing w:line="560" w:lineRule="exact"/>
        <w:ind w:firstLine="640" w:firstLineChars="200"/>
        <w:rPr>
          <w:rFonts w:hint="eastAsia" w:ascii="仿宋_GB2312" w:hAnsi="仿宋_GB2312" w:eastAsia="仿宋_GB2312" w:cs="仿宋_GB2312"/>
          <w:b w:val="0"/>
          <w:i w:val="0"/>
          <w:strike w:val="0"/>
          <w:color w:val="000000"/>
          <w:spacing w:val="0"/>
          <w:sz w:val="32"/>
          <w:szCs w:val="32"/>
          <w:highlight w:val="none"/>
          <w:u w:val="none"/>
        </w:rPr>
      </w:pPr>
      <w:r>
        <w:rPr>
          <w:rFonts w:hint="default" w:ascii="Times New Roman" w:hAnsi="Times New Roman" w:eastAsia="楷体_GB2312" w:cs="Times New Roman"/>
          <w:sz w:val="32"/>
          <w:szCs w:val="32"/>
          <w:lang w:eastAsia="zh-CN"/>
        </w:rPr>
        <w:t>支持</w:t>
      </w:r>
      <w:r>
        <w:rPr>
          <w:rFonts w:ascii="Times New Roman" w:hAnsi="Times New Roman" w:eastAsia="楷体_GB2312" w:cs="Times New Roman"/>
          <w:sz w:val="32"/>
          <w:szCs w:val="32"/>
        </w:rPr>
        <w:t>标准</w:t>
      </w:r>
      <w:r>
        <w:rPr>
          <w:rFonts w:hint="eastAsia" w:eastAsia="楷体_GB2312" w:cs="Times New Roman"/>
          <w:sz w:val="32"/>
          <w:szCs w:val="32"/>
          <w:lang w:eastAsia="zh-CN"/>
        </w:rPr>
        <w:t>：</w:t>
      </w:r>
      <w:r>
        <w:rPr>
          <w:rFonts w:hint="eastAsia" w:ascii="仿宋_GB2312" w:hAnsi="仿宋_GB2312" w:eastAsia="仿宋_GB2312" w:cs="仿宋_GB2312"/>
          <w:b w:val="0"/>
          <w:i w:val="0"/>
          <w:strike w:val="0"/>
          <w:color w:val="000000"/>
          <w:spacing w:val="0"/>
          <w:sz w:val="32"/>
          <w:szCs w:val="32"/>
          <w:highlight w:val="none"/>
          <w:u w:val="none"/>
        </w:rPr>
        <w:t>对入选“双高期刊”“双奖期刊”“双百期刊”“双效期刊”的，分别一次性给予最高50万元、40万元、30万元、20万元奖励。</w:t>
      </w:r>
    </w:p>
    <w:p>
      <w:pPr>
        <w:spacing w:line="560" w:lineRule="exact"/>
        <w:ind w:firstLine="640" w:firstLineChars="200"/>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sz w:val="32"/>
          <w:szCs w:val="32"/>
        </w:rPr>
        <w:t>支持</w:t>
      </w:r>
      <w:r>
        <w:rPr>
          <w:rFonts w:hint="default" w:ascii="Times New Roman" w:hAnsi="Times New Roman" w:eastAsia="楷体_GB2312" w:cs="Times New Roman"/>
          <w:sz w:val="32"/>
          <w:szCs w:val="32"/>
          <w:lang w:eastAsia="zh-CN"/>
        </w:rPr>
        <w:t>方式及</w:t>
      </w:r>
      <w:r>
        <w:rPr>
          <w:rFonts w:ascii="Times New Roman" w:hAnsi="Times New Roman" w:eastAsia="楷体_GB2312" w:cs="Times New Roman"/>
          <w:sz w:val="32"/>
          <w:szCs w:val="32"/>
        </w:rPr>
        <w:t>数量：</w:t>
      </w:r>
      <w:r>
        <w:rPr>
          <w:rFonts w:hint="default" w:ascii="Times New Roman" w:hAnsi="Times New Roman" w:eastAsia="仿宋_GB2312" w:cs="Times New Roman"/>
          <w:sz w:val="32"/>
          <w:szCs w:val="32"/>
          <w:lang w:eastAsia="zh-CN"/>
        </w:rPr>
        <w:t>直接奖励</w:t>
      </w:r>
      <w:r>
        <w:rPr>
          <w:rFonts w:hint="eastAsia" w:eastAsia="仿宋_GB2312" w:cs="Times New Roman"/>
          <w:sz w:val="32"/>
          <w:szCs w:val="32"/>
          <w:lang w:eastAsia="zh-CN"/>
        </w:rPr>
        <w:t>，</w:t>
      </w:r>
      <w:r>
        <w:rPr>
          <w:rFonts w:ascii="Times New Roman" w:hAnsi="Times New Roman" w:eastAsia="仿宋_GB2312" w:cs="Times New Roman"/>
          <w:sz w:val="32"/>
          <w:szCs w:val="32"/>
        </w:rPr>
        <w:t>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default" w:ascii="Times New Roman" w:hAnsi="Times New Roman"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pStyle w:val="2"/>
        <w:numPr>
          <w:ilvl w:val="0"/>
          <w:numId w:val="0"/>
        </w:numPr>
        <w:rPr>
          <w:rFonts w:hint="default" w:ascii="Times New Roman" w:hAnsi="Times New Roman" w:eastAsia="黑体" w:cs="Times New Roman"/>
          <w:lang w:val="en-US" w:eastAsia="zh-CN"/>
        </w:rPr>
      </w:pPr>
      <w:r>
        <w:rPr>
          <w:rFonts w:hint="default" w:ascii="Times New Roman" w:hAnsi="Times New Roman" w:eastAsia="黑体" w:cs="Times New Roman"/>
          <w:sz w:val="32"/>
          <w:szCs w:val="2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s="Times New Roman"/>
          <w:color w:val="auto"/>
          <w:sz w:val="32"/>
          <w:szCs w:val="32"/>
          <w:highlight w:val="none"/>
        </w:rPr>
        <w:t>所从事行业或开展的业务按照有关规定需经有关部门核准、备案或需取得相关资质的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应按要求取得</w:t>
      </w:r>
      <w:r>
        <w:rPr>
          <w:rFonts w:hint="default" w:ascii="Times New Roman" w:hAnsi="Times New Roman" w:eastAsia="仿宋_GB2312" w:cs="Times New Roman"/>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eastAsia="zh-CN"/>
        </w:rPr>
        <w:t>截至申报之日，</w:t>
      </w:r>
      <w:r>
        <w:rPr>
          <w:rFonts w:hint="eastAsia" w:eastAsia="仿宋_GB2312" w:cs="Times New Roman"/>
          <w:sz w:val="32"/>
          <w:szCs w:val="32"/>
          <w:highlight w:val="none"/>
          <w:lang w:eastAsia="zh-CN"/>
        </w:rPr>
        <w:t>申报单位为</w:t>
      </w:r>
      <w:r>
        <w:rPr>
          <w:rFonts w:hint="eastAsia" w:eastAsia="仿宋_GB2312" w:cs="Times New Roman"/>
          <w:sz w:val="32"/>
          <w:szCs w:val="32"/>
          <w:highlight w:val="none"/>
          <w:lang w:val="en-US" w:eastAsia="zh-CN"/>
        </w:rPr>
        <w:t>经区科技主管部门认定的</w:t>
      </w:r>
      <w:r>
        <w:rPr>
          <w:rFonts w:hint="eastAsia" w:eastAsia="仿宋_GB2312" w:cs="Times New Roman"/>
          <w:sz w:val="32"/>
          <w:szCs w:val="32"/>
          <w:highlight w:val="none"/>
          <w:lang w:eastAsia="zh-CN"/>
        </w:rPr>
        <w:t>脑科学与类脑智能企业</w:t>
      </w:r>
      <w:r>
        <w:rPr>
          <w:rFonts w:hint="eastAsia" w:eastAsia="仿宋_GB2312" w:cs="Times New Roman"/>
          <w:sz w:val="32"/>
          <w:szCs w:val="32"/>
          <w:highlight w:val="none"/>
          <w:lang w:val="en-US" w:eastAsia="zh-CN"/>
        </w:rPr>
        <w:t>，或符合政策规定的其他</w:t>
      </w:r>
      <w:r>
        <w:rPr>
          <w:rFonts w:hint="eastAsia" w:eastAsia="仿宋_GB2312" w:cs="Times New Roman"/>
          <w:sz w:val="32"/>
          <w:szCs w:val="32"/>
          <w:highlight w:val="none"/>
          <w:lang w:eastAsia="zh-CN"/>
        </w:rPr>
        <w:t>机构。</w:t>
      </w:r>
    </w:p>
    <w:p>
      <w:pPr>
        <w:pStyle w:val="2"/>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bCs w:val="0"/>
          <w:color w:val="auto"/>
          <w:kern w:val="2"/>
          <w:sz w:val="32"/>
          <w:szCs w:val="21"/>
          <w:highlight w:val="none"/>
          <w:lang w:eastAsia="zh-CN"/>
        </w:rPr>
        <w:t>（</w:t>
      </w:r>
      <w:r>
        <w:rPr>
          <w:rFonts w:hint="eastAsia" w:eastAsia="仿宋_GB2312"/>
          <w:bCs w:val="0"/>
          <w:color w:val="auto"/>
          <w:kern w:val="2"/>
          <w:sz w:val="32"/>
          <w:szCs w:val="21"/>
          <w:highlight w:val="none"/>
          <w:lang w:val="en-US" w:eastAsia="zh-CN"/>
        </w:rPr>
        <w:t>七</w:t>
      </w:r>
      <w:r>
        <w:rPr>
          <w:rFonts w:hint="default" w:ascii="Times New Roman" w:hAnsi="Times New Roman" w:eastAsia="仿宋_GB2312"/>
          <w:bCs w:val="0"/>
          <w:color w:val="auto"/>
          <w:kern w:val="2"/>
          <w:sz w:val="32"/>
          <w:szCs w:val="21"/>
          <w:highlight w:val="none"/>
          <w:lang w:eastAsia="zh-Hans"/>
        </w:rPr>
        <w:t>）</w:t>
      </w:r>
      <w:r>
        <w:rPr>
          <w:rFonts w:hint="eastAsia" w:ascii="仿宋_GB2312" w:hAnsi="仿宋_GB2312" w:eastAsia="仿宋_GB2312" w:cs="仿宋_GB2312"/>
          <w:sz w:val="32"/>
          <w:szCs w:val="32"/>
          <w:highlight w:val="none"/>
        </w:rPr>
        <w:t>申报单位</w:t>
      </w:r>
      <w:r>
        <w:rPr>
          <w:rFonts w:hint="eastAsia" w:ascii="仿宋_GB2312" w:hAnsi="仿宋_GB2312" w:eastAsia="仿宋_GB2312" w:cs="仿宋_GB2312"/>
          <w:sz w:val="32"/>
          <w:szCs w:val="32"/>
          <w:highlight w:val="none"/>
          <w:lang w:eastAsia="zh-CN"/>
        </w:rPr>
        <w:t>需对应满足下列条件：</w:t>
      </w:r>
    </w:p>
    <w:p>
      <w:pPr>
        <w:pStyle w:val="2"/>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1.期刊、协会、智库成立资助项目：</w:t>
      </w:r>
    </w:p>
    <w:p>
      <w:pPr>
        <w:pStyle w:val="2"/>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21"/>
          <w:highlight w:val="none"/>
          <w:lang w:val="en-US" w:eastAsia="zh-CN"/>
        </w:rPr>
      </w:pPr>
      <w:r>
        <w:rPr>
          <w:rFonts w:hint="eastAsia" w:ascii="仿宋_GB2312" w:hAnsi="仿宋_GB2312" w:eastAsia="仿宋_GB2312" w:cs="仿宋_GB2312"/>
          <w:sz w:val="32"/>
          <w:szCs w:val="32"/>
          <w:highlight w:val="none"/>
          <w:lang w:val="en-US" w:eastAsia="zh-CN"/>
        </w:rPr>
        <w:t>申报单位在2022年1月1日及以后经国家及省、市主管部门批准成立脑科学与类脑智能领域期刊、协会、智库等，且在光明区从事脑科学与类脑智能领域活动半年以上</w:t>
      </w:r>
      <w:r>
        <w:rPr>
          <w:rFonts w:hint="eastAsia" w:ascii="仿宋_GB2312" w:hAnsi="仿宋_GB2312" w:eastAsia="仿宋_GB2312" w:cs="仿宋_GB2312"/>
          <w:bCs w:val="0"/>
          <w:color w:val="auto"/>
          <w:kern w:val="2"/>
          <w:sz w:val="32"/>
          <w:szCs w:val="21"/>
          <w:highlight w:val="none"/>
          <w:lang w:val="en-US" w:eastAsia="zh-CN"/>
        </w:rPr>
        <w:t>。</w:t>
      </w:r>
    </w:p>
    <w:p>
      <w:pPr>
        <w:pStyle w:val="2"/>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val="0"/>
          <w:color w:val="auto"/>
          <w:kern w:val="2"/>
          <w:sz w:val="32"/>
          <w:szCs w:val="21"/>
          <w:highlight w:val="none"/>
          <w:lang w:val="en-US" w:eastAsia="zh-CN"/>
        </w:rPr>
        <w:t>2.</w:t>
      </w:r>
      <w:r>
        <w:rPr>
          <w:rFonts w:hint="eastAsia" w:ascii="仿宋_GB2312" w:hAnsi="仿宋_GB2312" w:eastAsia="仿宋_GB2312" w:cs="仿宋_GB2312"/>
          <w:sz w:val="32"/>
          <w:szCs w:val="32"/>
          <w:highlight w:val="none"/>
          <w:lang w:val="en-US" w:eastAsia="zh-CN"/>
        </w:rPr>
        <w:t>入选期刊奖励项目：</w:t>
      </w:r>
    </w:p>
    <w:p>
      <w:pPr>
        <w:pStyle w:val="2"/>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color w:val="auto"/>
          <w:sz w:val="32"/>
          <w:szCs w:val="21"/>
          <w:highlight w:val="none"/>
          <w:lang w:val="en-US" w:eastAsia="zh-CN"/>
        </w:rPr>
      </w:pPr>
      <w:r>
        <w:rPr>
          <w:rFonts w:hint="eastAsia" w:ascii="仿宋_GB2312" w:hAnsi="仿宋_GB2312" w:eastAsia="仿宋_GB2312" w:cs="仿宋_GB2312"/>
          <w:bCs w:val="0"/>
          <w:color w:val="auto"/>
          <w:kern w:val="2"/>
          <w:sz w:val="32"/>
          <w:szCs w:val="21"/>
          <w:highlight w:val="none"/>
          <w:lang w:val="en-US" w:eastAsia="zh-CN"/>
        </w:rPr>
        <w:t>申报单位在2022年1月1日及以后正式入选“双高期刊”“双奖期刊”“双百期刊”“双效期刊”。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22"/>
          <w:highlight w:val="none"/>
          <w:lang w:bidi="ar"/>
        </w:rPr>
      </w:pPr>
      <w:r>
        <w:rPr>
          <w:rFonts w:hint="eastAsia" w:asciiTheme="minorEastAsia" w:hAnsiTheme="minorEastAsia" w:eastAsiaTheme="minorEastAsia" w:cstheme="minorEastAsia"/>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光明区</w:t>
      </w:r>
      <w:r>
        <w:rPr>
          <w:rFonts w:hint="eastAsia" w:ascii="仿宋_GB2312" w:hAnsi="仿宋_GB2312" w:eastAsia="仿宋_GB2312" w:cs="仿宋_GB2312"/>
          <w:sz w:val="32"/>
          <w:szCs w:val="32"/>
          <w:highlight w:val="none"/>
          <w:lang w:val="en-US" w:eastAsia="zh-CN"/>
        </w:rPr>
        <w:t>脑科学与类脑智能</w:t>
      </w:r>
      <w:r>
        <w:rPr>
          <w:rFonts w:hint="default" w:ascii="Times New Roman" w:hAnsi="Times New Roman" w:eastAsia="仿宋_GB2312" w:cs="Times New Roman"/>
          <w:sz w:val="32"/>
          <w:szCs w:val="32"/>
          <w:highlight w:val="none"/>
          <w:lang w:val="en-US" w:eastAsia="zh-CN"/>
        </w:rPr>
        <w:t>学术氛围项目</w:t>
      </w:r>
      <w:r>
        <w:rPr>
          <w:rFonts w:hint="default" w:ascii="Times New Roman" w:hAnsi="Times New Roman" w:eastAsia="仿宋_GB2312" w:cs="Times New Roman"/>
          <w:sz w:val="32"/>
          <w:szCs w:val="32"/>
          <w:highlight w:val="none"/>
        </w:rPr>
        <w:t>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（三）上年度财务审计报告。</w:t>
      </w:r>
    </w:p>
    <w:p>
      <w:pPr>
        <w:spacing w:line="56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w:t>
      </w:r>
      <w:r>
        <w:rPr>
          <w:rFonts w:hint="eastAsia" w:ascii="仿宋_GB2312" w:hAnsi="仿宋_GB2312" w:eastAsia="仿宋_GB2312" w:cs="仿宋_GB2312"/>
          <w:sz w:val="32"/>
          <w:szCs w:val="32"/>
          <w:highlight w:val="none"/>
          <w:lang w:eastAsia="zh-CN"/>
        </w:rPr>
        <w:t>四</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信用信息资料（</w:t>
      </w:r>
      <w:r>
        <w:rPr>
          <w:rFonts w:hint="eastAsia" w:eastAsia="仿宋_GB2312" w:cs="Times New Roman"/>
          <w:sz w:val="32"/>
          <w:szCs w:val="32"/>
          <w:highlight w:val="none"/>
          <w:lang w:eastAsia="zh-CN"/>
        </w:rPr>
        <w:t>深圳信用网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eastAsia="zh-Hans"/>
        </w:rPr>
      </w:pPr>
      <w:r>
        <w:rPr>
          <w:rFonts w:hint="default" w:ascii="仿宋_GB2312" w:hAnsi="仿宋_GB2312" w:eastAsia="仿宋_GB2312" w:cs="仿宋_GB2312"/>
          <w:sz w:val="32"/>
          <w:szCs w:val="32"/>
          <w:highlight w:val="none"/>
        </w:rPr>
        <w:t>（</w:t>
      </w:r>
      <w:r>
        <w:rPr>
          <w:rFonts w:hint="eastAsia" w:eastAsia="仿宋_GB2312" w:cs="Times New Roman"/>
          <w:sz w:val="32"/>
          <w:szCs w:val="32"/>
          <w:highlight w:val="none"/>
          <w:lang w:eastAsia="zh-CN"/>
        </w:rPr>
        <w:t>五</w:t>
      </w:r>
      <w:r>
        <w:rPr>
          <w:rFonts w:hint="default" w:ascii="仿宋_GB2312" w:hAnsi="仿宋_GB2312" w:eastAsia="仿宋_GB2312" w:cs="仿宋_GB2312"/>
          <w:sz w:val="32"/>
          <w:szCs w:val="32"/>
          <w:highlight w:val="none"/>
          <w:lang w:eastAsia="zh-Hans"/>
        </w:rPr>
        <w:t>）对应</w:t>
      </w:r>
      <w:r>
        <w:rPr>
          <w:rFonts w:hint="eastAsia" w:ascii="仿宋_GB2312" w:hAnsi="仿宋_GB2312" w:eastAsia="仿宋_GB2312" w:cs="仿宋_GB2312"/>
          <w:sz w:val="32"/>
          <w:szCs w:val="32"/>
          <w:highlight w:val="none"/>
          <w:lang w:eastAsia="zh-CN"/>
        </w:rPr>
        <w:t>提交下列材料</w:t>
      </w:r>
      <w:r>
        <w:rPr>
          <w:rFonts w:hint="default" w:ascii="仿宋_GB2312" w:hAnsi="仿宋_GB2312" w:eastAsia="仿宋_GB2312" w:cs="仿宋_GB2312"/>
          <w:sz w:val="32"/>
          <w:szCs w:val="32"/>
          <w:highlight w:val="none"/>
          <w:lang w:eastAsia="zh-Hans"/>
        </w:rPr>
        <w:t>：</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Hans"/>
        </w:rPr>
        <w:t>1.期刊、协会、智库成立资助项目：</w:t>
      </w:r>
      <w:r>
        <w:rPr>
          <w:rFonts w:hint="default" w:ascii="仿宋_GB2312" w:hAnsi="仿宋_GB2312" w:eastAsia="仿宋_GB2312" w:cs="仿宋_GB2312"/>
          <w:sz w:val="32"/>
          <w:szCs w:val="32"/>
          <w:highlight w:val="none"/>
          <w:lang w:eastAsia="zh-Hans"/>
        </w:rPr>
        <w:t>获国家、省、市主管部门批准成立的证明文件</w:t>
      </w:r>
      <w:r>
        <w:rPr>
          <w:rFonts w:hint="eastAsia" w:ascii="仿宋_GB2312" w:hAnsi="仿宋_GB2312" w:eastAsia="仿宋_GB2312" w:cs="仿宋_GB2312"/>
          <w:sz w:val="32"/>
          <w:szCs w:val="32"/>
          <w:highlight w:val="none"/>
          <w:lang w:eastAsia="zh-CN"/>
        </w:rPr>
        <w:t>，运营期间成果产出佐证材料等。</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仿宋_GB2312" w:hAnsi="仿宋_GB2312" w:eastAsia="仿宋_GB2312" w:cs="仿宋_GB2312"/>
          <w:sz w:val="32"/>
          <w:szCs w:val="32"/>
          <w:highlight w:val="none"/>
          <w:lang w:val="en-US" w:eastAsia="zh-Hans"/>
        </w:rPr>
        <w:t>2.入选期刊奖励项目：</w:t>
      </w:r>
      <w:r>
        <w:rPr>
          <w:rFonts w:hint="eastAsia" w:ascii="仿宋_GB2312" w:hAnsi="仿宋_GB2312" w:eastAsia="仿宋_GB2312" w:cs="仿宋_GB2312"/>
          <w:sz w:val="32"/>
          <w:szCs w:val="32"/>
          <w:highlight w:val="none"/>
          <w:lang w:val="en-US" w:eastAsia="zh-Hans"/>
        </w:rPr>
        <w:t>入选</w:t>
      </w:r>
      <w:r>
        <w:rPr>
          <w:rFonts w:hint="eastAsia" w:ascii="仿宋_GB2312" w:hAnsi="仿宋_GB2312" w:eastAsia="仿宋_GB2312" w:cs="仿宋_GB2312"/>
          <w:sz w:val="32"/>
          <w:szCs w:val="32"/>
          <w:highlight w:val="none"/>
          <w:lang w:val="en-US" w:eastAsia="zh-CN"/>
        </w:rPr>
        <w:t>证明材料</w:t>
      </w:r>
      <w:r>
        <w:rPr>
          <w:rFonts w:hint="default" w:ascii="仿宋_GB2312" w:hAnsi="仿宋_GB2312" w:eastAsia="仿宋_GB2312" w:cs="仿宋_GB2312"/>
          <w:sz w:val="32"/>
          <w:szCs w:val="32"/>
          <w:highlight w:val="none"/>
          <w:lang w:eastAsia="zh-Hans"/>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eastAsia" w:ascii="仿宋_GB2312" w:hAnsi="仿宋_GB2312" w:eastAsia="仿宋_GB2312" w:cs="仿宋_GB2312"/>
          <w:sz w:val="32"/>
          <w:szCs w:val="32"/>
          <w:highlight w:val="none"/>
        </w:rPr>
        <w:t>电子材料审核通过后，请登录光明区企业服务门户，导出带水印编号的所有材料，加盖申报单位印章，多页的还需加盖骑缝印章，一式1份，A4纸正反面打印，装订成册（胶装）。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napToGrid w:val="0"/>
          <w:color w:val="auto"/>
          <w:sz w:val="32"/>
          <w:szCs w:val="32"/>
          <w:highlight w:val="none"/>
          <w:lang w:val="en-US" w:eastAsia="zh-CN"/>
        </w:rPr>
      </w:pPr>
      <w:r>
        <w:rPr>
          <w:rFonts w:hint="default" w:ascii="Times New Roman" w:hAnsi="Times New Roman" w:eastAsia="楷体_GB2312" w:cs="Times New Roman"/>
          <w:b w:val="0"/>
          <w:bCs/>
          <w:sz w:val="32"/>
          <w:szCs w:val="32"/>
          <w:highlight w:val="none"/>
        </w:rPr>
        <w:t>（一）网络申报时间：</w:t>
      </w:r>
      <w:r>
        <w:rPr>
          <w:rFonts w:hint="eastAsia" w:eastAsia="仿宋_GB2312" w:cs="Times New Roman"/>
          <w:snapToGrid w:val="0"/>
          <w:color w:val="auto"/>
          <w:sz w:val="32"/>
          <w:szCs w:val="32"/>
          <w:highlight w:val="none"/>
          <w:lang w:val="en-US"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val="0"/>
          <w:bCs/>
          <w:sz w:val="32"/>
          <w:szCs w:val="32"/>
          <w:highlight w:val="none"/>
        </w:rPr>
        <w:t>（</w:t>
      </w: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eastAsia" w:eastAsia="仿宋_GB2312" w:cs="Times New Roman"/>
          <w:snapToGrid w:val="0"/>
          <w:color w:val="auto"/>
          <w:sz w:val="32"/>
          <w:szCs w:val="32"/>
          <w:highlight w:val="none"/>
          <w:lang w:eastAsia="zh-CN"/>
        </w:rPr>
        <w:t>长期受理</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区科技主管部门发布指南——申报单位网上申报——申报单位向区科技主管部门窗口提交申报材料——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default" w:ascii="Times New Roman" w:hAnsi="Times New Roman"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default" w:ascii="Times New Roman" w:hAnsi="Times New Roman"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w:t>
      </w:r>
      <w:r>
        <w:rPr>
          <w:rFonts w:hint="eastAsia" w:eastAsia="仿宋_GB2312" w:cs="Times New Roman"/>
          <w:sz w:val="32"/>
          <w:szCs w:val="32"/>
          <w:highlight w:val="none"/>
          <w:lang w:eastAsia="zh-CN"/>
        </w:rPr>
        <w:t>同类别</w:t>
      </w:r>
      <w:r>
        <w:rPr>
          <w:rFonts w:hint="default" w:ascii="Times New Roman" w:hAnsi="Times New Roman" w:eastAsia="仿宋_GB2312" w:cs="Times New Roman"/>
          <w:sz w:val="32"/>
          <w:szCs w:val="32"/>
          <w:highlight w:val="none"/>
          <w:lang w:eastAsia="zh-CN"/>
        </w:rPr>
        <w:t>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不重复资助，由</w:t>
      </w:r>
      <w:r>
        <w:rPr>
          <w:rFonts w:hint="default" w:ascii="Times New Roman" w:hAnsi="Times New Roman" w:eastAsia="仿宋_GB2312" w:cs="Times New Roman"/>
          <w:sz w:val="32"/>
          <w:szCs w:val="32"/>
          <w:highlight w:val="none"/>
          <w:lang w:val="en-US" w:eastAsia="zh-CN"/>
        </w:rPr>
        <w:t>申报单位自行选择其中一项政策进行申报；本指南实施期间如遇政策调整的，可进行相应调整。</w:t>
      </w:r>
    </w:p>
    <w:p>
      <w:pPr>
        <w:pStyle w:val="2"/>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highlight w:val="none"/>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WQ1OTMyNjIyN2I1ZGU1YWVkYmRhZDYxM2M2YTQifQ=="/>
  </w:docVars>
  <w:rsids>
    <w:rsidRoot w:val="7DE555F8"/>
    <w:rsid w:val="00195DBC"/>
    <w:rsid w:val="004E4F27"/>
    <w:rsid w:val="006816E5"/>
    <w:rsid w:val="006C09E2"/>
    <w:rsid w:val="00712E41"/>
    <w:rsid w:val="00777350"/>
    <w:rsid w:val="00A64CF9"/>
    <w:rsid w:val="00F24B14"/>
    <w:rsid w:val="00F24FC1"/>
    <w:rsid w:val="016C0FA1"/>
    <w:rsid w:val="02866484"/>
    <w:rsid w:val="04FA7619"/>
    <w:rsid w:val="05C23EF2"/>
    <w:rsid w:val="05E43DB3"/>
    <w:rsid w:val="064D44A9"/>
    <w:rsid w:val="066D0786"/>
    <w:rsid w:val="08867594"/>
    <w:rsid w:val="09B732B9"/>
    <w:rsid w:val="0B9845D0"/>
    <w:rsid w:val="0BB34C12"/>
    <w:rsid w:val="0BC107DD"/>
    <w:rsid w:val="0D076022"/>
    <w:rsid w:val="0DE05E62"/>
    <w:rsid w:val="0DF527B7"/>
    <w:rsid w:val="0F5E074A"/>
    <w:rsid w:val="101269A1"/>
    <w:rsid w:val="10741E80"/>
    <w:rsid w:val="10806A3A"/>
    <w:rsid w:val="10FF092C"/>
    <w:rsid w:val="11092210"/>
    <w:rsid w:val="1123382A"/>
    <w:rsid w:val="11DB3CB4"/>
    <w:rsid w:val="121D47C6"/>
    <w:rsid w:val="12874FEB"/>
    <w:rsid w:val="12BD42C0"/>
    <w:rsid w:val="12D50968"/>
    <w:rsid w:val="133A5B94"/>
    <w:rsid w:val="1404149D"/>
    <w:rsid w:val="14121FF8"/>
    <w:rsid w:val="1426601B"/>
    <w:rsid w:val="155236E2"/>
    <w:rsid w:val="15A02F53"/>
    <w:rsid w:val="15E346E4"/>
    <w:rsid w:val="15FA009A"/>
    <w:rsid w:val="160A06FF"/>
    <w:rsid w:val="164F7505"/>
    <w:rsid w:val="169C5596"/>
    <w:rsid w:val="16FB2AD2"/>
    <w:rsid w:val="18423E76"/>
    <w:rsid w:val="198254B8"/>
    <w:rsid w:val="1A976EDF"/>
    <w:rsid w:val="1A9F43B1"/>
    <w:rsid w:val="1AE8061D"/>
    <w:rsid w:val="1AF65E38"/>
    <w:rsid w:val="1B736182"/>
    <w:rsid w:val="1B7F4944"/>
    <w:rsid w:val="1BDF9196"/>
    <w:rsid w:val="1C93760C"/>
    <w:rsid w:val="1CCD63D5"/>
    <w:rsid w:val="1CD67077"/>
    <w:rsid w:val="1CEE7D2F"/>
    <w:rsid w:val="1CF21A78"/>
    <w:rsid w:val="1D810F68"/>
    <w:rsid w:val="1DF560B2"/>
    <w:rsid w:val="1E9799CB"/>
    <w:rsid w:val="1EA02776"/>
    <w:rsid w:val="1F1E2D9D"/>
    <w:rsid w:val="1F1F7F60"/>
    <w:rsid w:val="1F3E84F3"/>
    <w:rsid w:val="1FFACC7A"/>
    <w:rsid w:val="20014B53"/>
    <w:rsid w:val="20380E83"/>
    <w:rsid w:val="21050FCB"/>
    <w:rsid w:val="21313216"/>
    <w:rsid w:val="21825BC0"/>
    <w:rsid w:val="22400702"/>
    <w:rsid w:val="22DD041F"/>
    <w:rsid w:val="22F364CB"/>
    <w:rsid w:val="24712A08"/>
    <w:rsid w:val="25085F45"/>
    <w:rsid w:val="25A16BBC"/>
    <w:rsid w:val="266035B7"/>
    <w:rsid w:val="26664B7D"/>
    <w:rsid w:val="284D6B87"/>
    <w:rsid w:val="28872C08"/>
    <w:rsid w:val="2ABE3B78"/>
    <w:rsid w:val="2B2C416B"/>
    <w:rsid w:val="2B694684"/>
    <w:rsid w:val="2C0D2FE5"/>
    <w:rsid w:val="2D993C53"/>
    <w:rsid w:val="2EA42C05"/>
    <w:rsid w:val="2F237DAC"/>
    <w:rsid w:val="2F27015D"/>
    <w:rsid w:val="2F503AD4"/>
    <w:rsid w:val="2F551796"/>
    <w:rsid w:val="2FB977C3"/>
    <w:rsid w:val="2FBF0DC7"/>
    <w:rsid w:val="2FFED687"/>
    <w:rsid w:val="2FFF6D3D"/>
    <w:rsid w:val="30707075"/>
    <w:rsid w:val="3195238C"/>
    <w:rsid w:val="32502584"/>
    <w:rsid w:val="3310730E"/>
    <w:rsid w:val="334F40FB"/>
    <w:rsid w:val="345E249A"/>
    <w:rsid w:val="34F43BFC"/>
    <w:rsid w:val="3588722F"/>
    <w:rsid w:val="35A10338"/>
    <w:rsid w:val="36A26321"/>
    <w:rsid w:val="376B0DD8"/>
    <w:rsid w:val="37875E52"/>
    <w:rsid w:val="37907D6F"/>
    <w:rsid w:val="38821C6E"/>
    <w:rsid w:val="38916701"/>
    <w:rsid w:val="39062BB4"/>
    <w:rsid w:val="39D2513E"/>
    <w:rsid w:val="39ED8EF4"/>
    <w:rsid w:val="39F627AF"/>
    <w:rsid w:val="3BBE4FAE"/>
    <w:rsid w:val="3CCA127C"/>
    <w:rsid w:val="3D3A18B6"/>
    <w:rsid w:val="3DA348A0"/>
    <w:rsid w:val="3E0F0E49"/>
    <w:rsid w:val="3E837411"/>
    <w:rsid w:val="3EAE4402"/>
    <w:rsid w:val="3EEF67B7"/>
    <w:rsid w:val="3F3EA1E3"/>
    <w:rsid w:val="3F4F5483"/>
    <w:rsid w:val="3FCFF27E"/>
    <w:rsid w:val="40031159"/>
    <w:rsid w:val="40094AB4"/>
    <w:rsid w:val="400F0580"/>
    <w:rsid w:val="411F278D"/>
    <w:rsid w:val="419929E5"/>
    <w:rsid w:val="42B35A29"/>
    <w:rsid w:val="43D3274C"/>
    <w:rsid w:val="445121D2"/>
    <w:rsid w:val="4598EF32"/>
    <w:rsid w:val="45BA1A48"/>
    <w:rsid w:val="465148F0"/>
    <w:rsid w:val="47DC362C"/>
    <w:rsid w:val="47FF964F"/>
    <w:rsid w:val="496320B6"/>
    <w:rsid w:val="496C6269"/>
    <w:rsid w:val="49C93C21"/>
    <w:rsid w:val="49E83C32"/>
    <w:rsid w:val="4AC72144"/>
    <w:rsid w:val="4B10198C"/>
    <w:rsid w:val="4B477D2D"/>
    <w:rsid w:val="4B875585"/>
    <w:rsid w:val="4BF65FD1"/>
    <w:rsid w:val="4C2A0E0A"/>
    <w:rsid w:val="4CED0E58"/>
    <w:rsid w:val="4D805B5A"/>
    <w:rsid w:val="4DCF05BC"/>
    <w:rsid w:val="4E781B88"/>
    <w:rsid w:val="4EAF172C"/>
    <w:rsid w:val="4ECB0B76"/>
    <w:rsid w:val="4EEF1E97"/>
    <w:rsid w:val="4FB649EE"/>
    <w:rsid w:val="505A0109"/>
    <w:rsid w:val="50AD08A8"/>
    <w:rsid w:val="510A264D"/>
    <w:rsid w:val="51C13665"/>
    <w:rsid w:val="523A5FD1"/>
    <w:rsid w:val="535B46DB"/>
    <w:rsid w:val="53A114EF"/>
    <w:rsid w:val="55A148D4"/>
    <w:rsid w:val="56BF2FAE"/>
    <w:rsid w:val="56FC7C12"/>
    <w:rsid w:val="5756151C"/>
    <w:rsid w:val="57A8C333"/>
    <w:rsid w:val="5809053C"/>
    <w:rsid w:val="581174C1"/>
    <w:rsid w:val="583132F0"/>
    <w:rsid w:val="59095649"/>
    <w:rsid w:val="597C5DF9"/>
    <w:rsid w:val="59DF6069"/>
    <w:rsid w:val="5B7D3E40"/>
    <w:rsid w:val="5C2238AB"/>
    <w:rsid w:val="5C3D46E3"/>
    <w:rsid w:val="5D464905"/>
    <w:rsid w:val="5D6E4986"/>
    <w:rsid w:val="5E0237EE"/>
    <w:rsid w:val="5E67432F"/>
    <w:rsid w:val="5ED2082A"/>
    <w:rsid w:val="5FAD9D33"/>
    <w:rsid w:val="5FBE57B5"/>
    <w:rsid w:val="5FF74637"/>
    <w:rsid w:val="605E5446"/>
    <w:rsid w:val="60943BDF"/>
    <w:rsid w:val="60CF0A89"/>
    <w:rsid w:val="60DE7651"/>
    <w:rsid w:val="615C1A24"/>
    <w:rsid w:val="619F69F4"/>
    <w:rsid w:val="62B81178"/>
    <w:rsid w:val="62F56D3C"/>
    <w:rsid w:val="630D5241"/>
    <w:rsid w:val="637C25DA"/>
    <w:rsid w:val="640068AF"/>
    <w:rsid w:val="646C600B"/>
    <w:rsid w:val="6573238C"/>
    <w:rsid w:val="6577C196"/>
    <w:rsid w:val="65901886"/>
    <w:rsid w:val="65AFE034"/>
    <w:rsid w:val="6789435D"/>
    <w:rsid w:val="679C1785"/>
    <w:rsid w:val="684121A0"/>
    <w:rsid w:val="6867395C"/>
    <w:rsid w:val="687556A6"/>
    <w:rsid w:val="68873FE3"/>
    <w:rsid w:val="68D370B3"/>
    <w:rsid w:val="69433658"/>
    <w:rsid w:val="69BBCD2F"/>
    <w:rsid w:val="69C540FC"/>
    <w:rsid w:val="6A9E353A"/>
    <w:rsid w:val="6C0535A1"/>
    <w:rsid w:val="6C7F2502"/>
    <w:rsid w:val="6C897C36"/>
    <w:rsid w:val="6CEB69EC"/>
    <w:rsid w:val="6D1B64A2"/>
    <w:rsid w:val="6DA928C1"/>
    <w:rsid w:val="6E4F6C5D"/>
    <w:rsid w:val="6EA027EB"/>
    <w:rsid w:val="6F1329A4"/>
    <w:rsid w:val="6F2D4534"/>
    <w:rsid w:val="6F6D18BE"/>
    <w:rsid w:val="6F7E0B4D"/>
    <w:rsid w:val="6FA7153F"/>
    <w:rsid w:val="70552A58"/>
    <w:rsid w:val="712742DF"/>
    <w:rsid w:val="7217043B"/>
    <w:rsid w:val="72341069"/>
    <w:rsid w:val="73125FD0"/>
    <w:rsid w:val="73821196"/>
    <w:rsid w:val="738F221C"/>
    <w:rsid w:val="73D6524F"/>
    <w:rsid w:val="740706E6"/>
    <w:rsid w:val="74ED0FA2"/>
    <w:rsid w:val="74F869CD"/>
    <w:rsid w:val="750A519F"/>
    <w:rsid w:val="75B23A9A"/>
    <w:rsid w:val="75D46767"/>
    <w:rsid w:val="75DB230A"/>
    <w:rsid w:val="765A028D"/>
    <w:rsid w:val="76703A87"/>
    <w:rsid w:val="76DFE49A"/>
    <w:rsid w:val="76FC1CA7"/>
    <w:rsid w:val="779FCFC2"/>
    <w:rsid w:val="785466E1"/>
    <w:rsid w:val="78A613D9"/>
    <w:rsid w:val="79254CB8"/>
    <w:rsid w:val="7A5B6294"/>
    <w:rsid w:val="7A6E16F9"/>
    <w:rsid w:val="7AD26EA4"/>
    <w:rsid w:val="7B300462"/>
    <w:rsid w:val="7B3D536C"/>
    <w:rsid w:val="7BBDA643"/>
    <w:rsid w:val="7BBF8014"/>
    <w:rsid w:val="7BFB7657"/>
    <w:rsid w:val="7CE3715C"/>
    <w:rsid w:val="7CEEB74C"/>
    <w:rsid w:val="7D7E6719"/>
    <w:rsid w:val="7DDA10FC"/>
    <w:rsid w:val="7DE555F8"/>
    <w:rsid w:val="7DF3C2CF"/>
    <w:rsid w:val="7E274840"/>
    <w:rsid w:val="7E477A71"/>
    <w:rsid w:val="7EAF37B6"/>
    <w:rsid w:val="7EBD7483"/>
    <w:rsid w:val="7EF3C4D1"/>
    <w:rsid w:val="7F3B3D54"/>
    <w:rsid w:val="7F4848CD"/>
    <w:rsid w:val="7FD65817"/>
    <w:rsid w:val="7FE6EE08"/>
    <w:rsid w:val="9E9508A9"/>
    <w:rsid w:val="A7AE06B3"/>
    <w:rsid w:val="AEEDD1B4"/>
    <w:rsid w:val="AFFE78DF"/>
    <w:rsid w:val="BDBF7F34"/>
    <w:rsid w:val="BEC7B547"/>
    <w:rsid w:val="BF9BE112"/>
    <w:rsid w:val="BFFD6F55"/>
    <w:rsid w:val="C3BE85D2"/>
    <w:rsid w:val="CDF48C12"/>
    <w:rsid w:val="D5F55FBC"/>
    <w:rsid w:val="D735EDD1"/>
    <w:rsid w:val="DBFF9D8E"/>
    <w:rsid w:val="DF649DE7"/>
    <w:rsid w:val="DFBFFA3A"/>
    <w:rsid w:val="DFEE4301"/>
    <w:rsid w:val="DFF76E39"/>
    <w:rsid w:val="E4472BCA"/>
    <w:rsid w:val="EB1F6F51"/>
    <w:rsid w:val="ED7D2AB4"/>
    <w:rsid w:val="EFF955C4"/>
    <w:rsid w:val="F37BB4B8"/>
    <w:rsid w:val="F5697DB4"/>
    <w:rsid w:val="F7BE3875"/>
    <w:rsid w:val="F7BF82E1"/>
    <w:rsid w:val="F8C5D625"/>
    <w:rsid w:val="FCDE2558"/>
    <w:rsid w:val="FD1FE064"/>
    <w:rsid w:val="FD3F7BA4"/>
    <w:rsid w:val="FDDB773B"/>
    <w:rsid w:val="FDFE27C5"/>
    <w:rsid w:val="FE6BDEAD"/>
    <w:rsid w:val="FE6ED839"/>
    <w:rsid w:val="FE7F47AB"/>
    <w:rsid w:val="FF4D5E90"/>
    <w:rsid w:val="FF7BF0EB"/>
    <w:rsid w:val="FFBFF377"/>
    <w:rsid w:val="FFDB7B05"/>
    <w:rsid w:val="FFFBC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4">
    <w:name w:val="Normal Indent"/>
    <w:basedOn w:val="1"/>
    <w:next w:val="1"/>
    <w:qFormat/>
    <w:uiPriority w:val="0"/>
    <w:pPr>
      <w:ind w:firstLine="630"/>
    </w:pPr>
    <w:rPr>
      <w:kern w:val="0"/>
    </w:rPr>
  </w:style>
  <w:style w:type="paragraph" w:styleId="5">
    <w:name w:val="Body Text"/>
    <w:basedOn w:val="1"/>
    <w:qFormat/>
    <w:uiPriority w:val="0"/>
    <w:pPr>
      <w:ind w:left="220"/>
    </w:pPr>
    <w:rPr>
      <w:rFonts w:ascii="微软雅黑" w:hAnsi="微软雅黑" w:eastAsia="微软雅黑" w:cs="微软雅黑"/>
      <w:sz w:val="32"/>
      <w:szCs w:val="3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1908</Words>
  <Characters>2028</Characters>
  <Lines>14</Lines>
  <Paragraphs>4</Paragraphs>
  <TotalTime>0</TotalTime>
  <ScaleCrop>false</ScaleCrop>
  <LinksUpToDate>false</LinksUpToDate>
  <CharactersWithSpaces>2042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2021-03-06T20:31:00Z</dcterms:created>
  <dc:creator>乔娜</dc:creator>
  <cp:lastModifiedBy>zhangxiaoya</cp:lastModifiedBy>
  <cp:lastPrinted>2021-06-17T01:30:00Z</cp:lastPrinted>
  <dcterms:modified xsi:type="dcterms:W3CDTF">2023-06-09T17:52:18Z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