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方正小标宋_GBK" w:hAnsi="方正小标宋_GBK" w:eastAsia="方正小标宋_GBK" w:cs="方正小标宋_GBK"/>
          <w:sz w:val="44"/>
          <w:szCs w:val="44"/>
        </w:rPr>
      </w:pPr>
      <w:r>
        <w:rPr>
          <w:rStyle w:val="13"/>
          <w:rFonts w:hint="eastAsia" w:ascii="方正小标宋_GBK" w:hAnsi="方正小标宋_GBK" w:eastAsia="方正小标宋_GBK" w:cs="方正小标宋_GBK"/>
          <w:sz w:val="44"/>
          <w:szCs w:val="44"/>
          <w:lang w:val="en-US" w:eastAsia="zh-CN"/>
        </w:rPr>
        <w:t>2023年</w:t>
      </w:r>
      <w:r>
        <w:rPr>
          <w:rStyle w:val="13"/>
          <w:rFonts w:hint="eastAsia" w:ascii="方正小标宋_GBK" w:hAnsi="方正小标宋_GBK" w:eastAsia="方正小标宋_GBK" w:cs="方正小标宋_GBK"/>
          <w:sz w:val="44"/>
          <w:szCs w:val="44"/>
        </w:rPr>
        <w:t>制造业中长期贷款项目申报指引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黑体" w:hAnsi="黑体" w:eastAsia="黑体" w:cs="黑体"/>
          <w:b w:val="0"/>
          <w:bCs w:val="0"/>
          <w:i w:val="0"/>
          <w:iCs w:val="0"/>
          <w:caps w:val="0"/>
          <w:color w:val="333333"/>
          <w:spacing w:val="0"/>
          <w:sz w:val="32"/>
          <w:szCs w:val="32"/>
          <w:shd w:val="clear" w:fill="FFFFFF"/>
        </w:rPr>
      </w:pPr>
      <w:r>
        <w:rPr>
          <w:rFonts w:hint="eastAsia" w:ascii="仿宋_GB2312" w:hAnsi="仿宋_GB2312" w:eastAsia="仿宋_GB2312" w:cs="仿宋_GB2312"/>
          <w:sz w:val="32"/>
          <w:lang w:val="en-US" w:eastAsia="zh-CN"/>
        </w:rPr>
        <w:t>为加大对制造业金融支持力度，进一步强化政银企对接，推动制造业高质量发展，国家发展改革委正组织开展2023年制造业中长期贷款备选项目申报工作。符合条件的项目主体，可按照重点支持领域积极开展项目申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default" w:ascii="黑体" w:hAnsi="黑体" w:eastAsia="黑体" w:cs="黑体"/>
          <w:b w:val="0"/>
          <w:bCs w:val="0"/>
          <w:sz w:val="32"/>
          <w:szCs w:val="32"/>
          <w:lang w:val="en-US" w:eastAsia="zh-CN"/>
        </w:rPr>
      </w:pPr>
      <w:r>
        <w:rPr>
          <w:rFonts w:hint="eastAsia" w:ascii="黑体" w:hAnsi="黑体" w:eastAsia="黑体" w:cs="黑体"/>
          <w:b w:val="0"/>
          <w:bCs w:val="0"/>
          <w:i w:val="0"/>
          <w:iCs w:val="0"/>
          <w:caps w:val="0"/>
          <w:color w:val="333333"/>
          <w:spacing w:val="0"/>
          <w:sz w:val="32"/>
          <w:szCs w:val="32"/>
          <w:shd w:val="clear" w:fill="FFFFFF"/>
        </w:rPr>
        <w:t>一、</w:t>
      </w:r>
      <w:r>
        <w:rPr>
          <w:rFonts w:hint="eastAsia" w:ascii="黑体" w:hAnsi="黑体" w:eastAsia="黑体" w:cs="黑体"/>
          <w:b w:val="0"/>
          <w:bCs w:val="0"/>
          <w:i w:val="0"/>
          <w:iCs w:val="0"/>
          <w:caps w:val="0"/>
          <w:color w:val="333333"/>
          <w:spacing w:val="0"/>
          <w:sz w:val="32"/>
          <w:szCs w:val="32"/>
          <w:shd w:val="clear" w:fill="FFFFFF"/>
          <w:lang w:val="en-US" w:eastAsia="zh-CN"/>
        </w:rPr>
        <w:t>项目申报流程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(一)登录系统。</w:t>
      </w:r>
      <w:r>
        <w:rPr>
          <w:rFonts w:hint="eastAsia" w:ascii="仿宋_GB2312" w:hAnsi="仿宋_GB2312" w:eastAsia="仿宋_GB2312" w:cs="仿宋_GB2312"/>
          <w:sz w:val="32"/>
          <w:szCs w:val="32"/>
          <w:lang w:val="en-US" w:eastAsia="zh-CN"/>
        </w:rPr>
        <w:t>项目单位通过互联网访问国家重大建设项目库（http://kpp.ndrc.gov.cn），注册账号并登录系统。</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(二)新增项目。</w:t>
      </w:r>
      <w:r>
        <w:rPr>
          <w:rFonts w:hint="default" w:ascii="仿宋_GB2312" w:hAnsi="仿宋_GB2312" w:eastAsia="仿宋_GB2312" w:cs="仿宋_GB2312"/>
          <w:sz w:val="32"/>
          <w:szCs w:val="32"/>
          <w:lang w:val="en-US" w:eastAsia="zh-CN"/>
        </w:rPr>
        <w:t>在“项目管理-填报区”菜单模块，点击 “新增”按钮添加项目，填写“中长期贷款”项目相关业务指标，关键指标填报说明如下：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拟申报中长期贷款的项目，应在基本信息表中“是否中长期贷款”一栏选择“是”</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2、在投资情况表中“银行贷款”对应行的“总投资”列及“资金需求-202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年”列填写信息。</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、已安排的银行贷款情况，在投资情况表中“银行贷款”对应的“累计下达(安排)资金”列中填写。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、在填报项目时要确保“基本信息”中的贷款投向、贷款 用途、是否属于负面清单、项目基本户开户行、建议对接银行、所属规划等关键信息准确无误。需提前与所填建议对接银行做好沟通协商，最多可填写2家对接银行。对项目属性选择"基建项目"的，应在"贷款用途"中明确基建投资在项目总投资中的占比</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(三)项目报送。</w:t>
      </w:r>
      <w:r>
        <w:rPr>
          <w:rFonts w:hint="default" w:ascii="仿宋_GB2312" w:hAnsi="仿宋_GB2312" w:eastAsia="仿宋_GB2312" w:cs="仿宋_GB2312"/>
          <w:sz w:val="32"/>
          <w:szCs w:val="32"/>
          <w:lang w:val="en-US" w:eastAsia="zh-CN"/>
        </w:rPr>
        <w:t>在“项目管理-填报区”菜单模块点击“报送”按钮，进行“中长期贷款”项目报送</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(四)修改已报送项目</w:t>
      </w:r>
      <w:r>
        <w:rPr>
          <w:rFonts w:hint="default" w:ascii="仿宋_GB2312" w:hAnsi="仿宋_GB2312" w:eastAsia="仿宋_GB2312" w:cs="仿宋_GB2312"/>
          <w:sz w:val="32"/>
          <w:szCs w:val="32"/>
          <w:lang w:val="en-US" w:eastAsia="zh-CN"/>
        </w:rPr>
        <w:t>。针对已报送的项目，若想修改，可 联系上级部门解锁(项目锁定等级为“无”)后，点击项目名称直接进行修改。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二、国家重大建设项目库“中长期贷款模块”指标及说明</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2557"/>
        <w:gridCol w:w="763"/>
        <w:gridCol w:w="4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指标名称</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是否必填</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指标说明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项目名称</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审批监管平台代码</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项目单位</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项目单位信用代码</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省（区、市）</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市-县</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贷款投向领域（正面清单）</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相关领域（下拉菜单）和其他（手填），与其他联动的文本框不做必填。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贷款投向细分领域</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相关细分领域（下拉菜单）和其他（手填）。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贷款投向领域是否属于负面清单</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是或否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贷款用途</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描述主要支出需要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是否年内使用贷款资金</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是或否，若否则不予审批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项目总投资</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大于0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项目资本金</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大于0，小于总投资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项目贷款总需求</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大于0，小于总投资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贷款期限(月）</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大于0小于300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项目回报方式</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沿用基金校验逻辑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项目回报率（%）</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沿用基金校验逻辑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基本户开户银行</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21家银行或其他，与其他联动的文本框必填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建议对接银行</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21家银行或其他，与其他联动的文本框必填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联系人</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手机号</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项目属性</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属于基建项目、技改项目（下拉菜单）或其他（手填），与其他联动的文本框不做必填。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是否符合国家产业政策</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是、否或不涉及三选一，选是需填写产业政策详细信息。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是否符合区域政策</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是、否或不涉及三选一，选是需填写区域政策详细信息。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是否符合节能环保政策</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是、否或不涉及三选一，选是需填写节能环保政策详细信息。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所属规划</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如果选了具体的规划类别，则需要补充规划名称和文号。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规划名称及文号</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2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2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宋体" w:eastAsia="仿宋_GB2312" w:cs="仿宋_GB2312"/>
                <w:i w:val="0"/>
                <w:iCs w:val="0"/>
                <w:color w:val="000000"/>
                <w:sz w:val="24"/>
                <w:szCs w:val="24"/>
                <w:u w:val="none"/>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黑体" w:hAnsi="黑体" w:eastAsia="黑体" w:cs="黑体"/>
          <w:b w:val="0"/>
          <w:bCs w:val="0"/>
          <w:i w:val="0"/>
          <w:iCs w:val="0"/>
          <w:caps w:val="0"/>
          <w:color w:val="333333"/>
          <w:spacing w:val="0"/>
          <w:sz w:val="32"/>
          <w:szCs w:val="32"/>
          <w:shd w:val="clear" w:fill="FFFFFF"/>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三、制造业中长期贷款重点支持领域</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（一）传统产业改造升级</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1.化工新材料研发和产业化；</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2.医药企业高端医疗器械及药品研发和产业化，原料药企业高端化绿色化改造升级；</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3.石化、化工、医药企业实施智能化改造；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4.石化、化工企业实施绿色低碳技术应用和节能降碳改造升级；</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5.石化、化工、医药企业其他符合产业政策的更新改造和转型升级项目；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6.钢铁、有色、建材企业实施智能化改造；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7.钢铁、有色、建材企业实施绿色低碳技术应用和节能降碳改造升级；</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8.钢铁、有色、建材企业其他符合产业政策的更新改造和转型升级项目；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9.新能源汽车企业技术研发和设备更新；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10.汽车、机械企业实施智能化改造；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11.汽车、</w:t>
      </w:r>
      <w:r>
        <w:rPr>
          <w:rFonts w:hint="eastAsia" w:ascii="仿宋_GB2312" w:hAnsi="仿宋_GB2312" w:eastAsia="仿宋_GB2312" w:cs="仿宋_GB2312"/>
          <w:sz w:val="32"/>
          <w:szCs w:val="32"/>
          <w:lang w:eastAsia="zh-CN"/>
        </w:rPr>
        <w:t>机械企业</w:t>
      </w:r>
      <w:r>
        <w:rPr>
          <w:rFonts w:hint="eastAsia" w:ascii="仿宋_GB2312" w:hAnsi="仿宋_GB2312" w:eastAsia="仿宋_GB2312" w:cs="仿宋_GB2312"/>
          <w:sz w:val="32"/>
          <w:szCs w:val="32"/>
        </w:rPr>
        <w:t>其他符合产业政策的更新改造和转型升级项目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12.动力电池回收</w:t>
      </w:r>
      <w:r>
        <w:rPr>
          <w:rFonts w:hint="eastAsia" w:ascii="仿宋_GB2312" w:hAnsi="仿宋_GB2312" w:eastAsia="仿宋_GB2312" w:cs="仿宋_GB2312"/>
          <w:sz w:val="32"/>
          <w:szCs w:val="32"/>
          <w:lang w:eastAsia="zh-CN"/>
        </w:rPr>
        <w:t>拆解和循环利用；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13.废旧家电回收</w:t>
      </w:r>
      <w:r>
        <w:rPr>
          <w:rFonts w:hint="eastAsia" w:ascii="仿宋_GB2312" w:hAnsi="仿宋_GB2312" w:eastAsia="仿宋_GB2312" w:cs="仿宋_GB2312"/>
          <w:sz w:val="32"/>
          <w:szCs w:val="32"/>
          <w:lang w:eastAsia="zh-CN"/>
        </w:rPr>
        <w:t>拆解和循环利用；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轻工、纺织企业生产线高效化柔性化提质升级改造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轻工、纺织企业</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智能化改造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轻工、纺织企业</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lang w:val="en-US" w:eastAsia="zh-CN"/>
        </w:rPr>
        <w:t>绿色低碳技术应用和节能降碳改造升级；</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造纸、发酵、制革</w:t>
      </w:r>
      <w:r>
        <w:rPr>
          <w:rFonts w:hint="eastAsia" w:ascii="仿宋_GB2312" w:hAnsi="仿宋_GB2312" w:eastAsia="仿宋_GB2312" w:cs="仿宋_GB2312"/>
          <w:sz w:val="32"/>
          <w:szCs w:val="32"/>
          <w:lang w:eastAsia="zh-CN"/>
        </w:rPr>
        <w:t>企业实施</w:t>
      </w:r>
      <w:r>
        <w:rPr>
          <w:rFonts w:hint="eastAsia" w:ascii="仿宋_GB2312" w:hAnsi="仿宋_GB2312" w:eastAsia="仿宋_GB2312" w:cs="仿宋_GB2312"/>
          <w:sz w:val="32"/>
          <w:szCs w:val="32"/>
        </w:rPr>
        <w:t>原料无害化、生产清洁化、废弃物资源化</w:t>
      </w:r>
      <w:r>
        <w:rPr>
          <w:rFonts w:hint="eastAsia" w:ascii="仿宋_GB2312" w:hAnsi="仿宋_GB2312" w:eastAsia="仿宋_GB2312" w:cs="仿宋_GB2312"/>
          <w:sz w:val="32"/>
          <w:szCs w:val="32"/>
          <w:lang w:eastAsia="zh-CN"/>
        </w:rPr>
        <w:t>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轻工、纺织企业</w:t>
      </w:r>
      <w:r>
        <w:rPr>
          <w:rFonts w:hint="eastAsia" w:ascii="仿宋_GB2312" w:hAnsi="仿宋_GB2312" w:eastAsia="仿宋_GB2312" w:cs="仿宋_GB2312"/>
          <w:sz w:val="32"/>
          <w:szCs w:val="32"/>
        </w:rPr>
        <w:t>其他符合产业政策的更新改造和转型升级项目。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（二）重要行业领域信息设施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综合办公系统</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经营管理系统</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生产运营系统</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网络基础设施。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w:t>
      </w:r>
      <w:r>
        <w:rPr>
          <w:rFonts w:hint="eastAsia" w:ascii="楷体" w:hAnsi="楷体" w:eastAsia="楷体" w:cs="楷体"/>
          <w:sz w:val="32"/>
          <w:szCs w:val="32"/>
          <w:lang w:val="en-US" w:eastAsia="zh"/>
        </w:rPr>
        <w:t>电子信息制造业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
        </w:rPr>
        <w:t>骨干企业电子元器件、关键材料、特种气体等领域产能扩大和能力提升项目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
        </w:rPr>
        <w:t>已取得攻关突破的电子装备、仪器产能扩大和能力提升项目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
        </w:rPr>
        <w:t>骨干企业</w:t>
      </w:r>
      <w:r>
        <w:rPr>
          <w:rFonts w:hint="eastAsia" w:ascii="仿宋_GB2312" w:hAnsi="仿宋_GB2312" w:eastAsia="仿宋_GB2312" w:cs="仿宋_GB2312"/>
          <w:sz w:val="32"/>
          <w:szCs w:val="32"/>
          <w:lang w:val="en-US" w:eastAsia="zh"/>
        </w:rPr>
        <w:t>集成电路和硅片制造项目、</w:t>
      </w:r>
      <w:r>
        <w:rPr>
          <w:rFonts w:hint="eastAsia" w:ascii="仿宋_GB2312" w:hAnsi="仿宋_GB2312" w:eastAsia="仿宋_GB2312" w:cs="仿宋_GB2312"/>
          <w:sz w:val="32"/>
          <w:szCs w:val="32"/>
          <w:lang w:eastAsia="zh"/>
        </w:rPr>
        <w:t>液晶显示面板、OLED面板、Micro-LED器件、玻璃基板建设项目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
        </w:rPr>
        <w:t>与5G、人工智能技术融合应用相关的VR/AR等新型消费终端、可穿戴设备、通信模组、新型网关等产品制造项目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lang w:eastAsia="zh"/>
        </w:rPr>
        <w:t>生物</w:t>
      </w:r>
      <w:r>
        <w:rPr>
          <w:rFonts w:hint="eastAsia" w:ascii="楷体" w:hAnsi="楷体" w:eastAsia="楷体" w:cs="楷体"/>
          <w:sz w:val="32"/>
          <w:szCs w:val="32"/>
          <w:lang w:eastAsia="zh-CN"/>
        </w:rPr>
        <w:t>产业</w:t>
      </w:r>
      <w:r>
        <w:rPr>
          <w:rFonts w:hint="eastAsia" w:ascii="楷体" w:hAnsi="楷体" w:eastAsia="楷体" w:cs="楷体"/>
          <w:sz w:val="32"/>
          <w:szCs w:val="32"/>
          <w:lang w:eastAsia="zh"/>
        </w:rPr>
        <w:t>全链条技术产品创新和制造生产</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生物大分子药物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寡核苷酸药物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现代中药、珍稀药材替代药物、中药材生态种植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30.新型疫苗、基因和细胞治疗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体外诊断</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健康大数据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康养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粮食和重要农产品种源</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农业生物制品和生物药品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功能性食品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污染土壤生物修复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生物制造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39.生物基环保材料、生物化工、生物燃料、生物质能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病原微生物防控、个人防护与生命支撑、消杀和隔离装备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w:t>
      </w:r>
      <w:r>
        <w:rPr>
          <w:rFonts w:hint="eastAsia" w:ascii="楷体" w:hAnsi="楷体" w:eastAsia="楷体" w:cs="楷体"/>
          <w:sz w:val="32"/>
          <w:szCs w:val="32"/>
          <w:lang w:eastAsia="zh"/>
        </w:rPr>
        <w:t>航空航天</w:t>
      </w:r>
      <w:r>
        <w:rPr>
          <w:rFonts w:hint="eastAsia" w:ascii="楷体" w:hAnsi="楷体" w:eastAsia="楷体" w:cs="楷体"/>
          <w:sz w:val="32"/>
          <w:szCs w:val="32"/>
          <w:lang w:eastAsia="zh-CN"/>
        </w:rPr>
        <w:t>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航空干线、支线、通用飞机及零部件开发制造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航空发动机开发制造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机载设备、任务设备、空管设备和地面保障设备开发制造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航空航天用燃气轮机制造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遥感卫星、通信卫星、导航卫星、运载火箭、发射测试系统、卫星地面和应用系统建设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先进卫星载荷研制及生产</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北斗高端芯片、器件、模组、终端等部组件研制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高精度、低功耗、抗干扰防欺骗、组合导航等技术与软件的研发应用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lang w:val="en-US" w:eastAsia="zh"/>
        </w:rPr>
        <w:t>高性能卫星平台研制及生产</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val="en-US" w:eastAsia="zh"/>
        </w:rPr>
        <w:t>智能化安全保密设备研制及生产</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六</w:t>
      </w:r>
      <w:r>
        <w:rPr>
          <w:rFonts w:hint="eastAsia" w:ascii="楷体" w:hAnsi="楷体" w:eastAsia="楷体" w:cs="楷体"/>
          <w:sz w:val="32"/>
          <w:szCs w:val="32"/>
          <w:lang w:eastAsia="zh-CN"/>
        </w:rPr>
        <w:t>）</w:t>
      </w:r>
      <w:r>
        <w:rPr>
          <w:rFonts w:hint="eastAsia" w:ascii="楷体" w:hAnsi="楷体" w:eastAsia="楷体" w:cs="楷体"/>
          <w:sz w:val="32"/>
          <w:szCs w:val="32"/>
          <w:lang w:eastAsia="zh"/>
        </w:rPr>
        <w:t>高端科研仪器研发和制造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高效色谱仪、高性能质谱仪、核磁共振波谱仪、红外光谱仪</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扫描电子显微镜、激光扫描共聚焦显微镜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X射线衍射仪</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高精度三坐标测量仪</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高端实时示波器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无线射频信号源</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频谱仪</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网络分析仪</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集成电路测试仪</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六自由度激光跟踪仪</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高精度显微测振仪</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高通量基因测序仪</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流式细胞仪</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高精度激光面形干涉仪</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无液氦稀释制冷机。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（七）能源高效利用和低碳转型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煤电机组节能降碳改造、供热改造、灵活性改造“三改联动”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67.大型风电光伏基地周边支撑煤电、原址扩建超超临界先进煤电和天然气发电；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68.煤矿智能化建设和清洁高效生产</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69.燃煤耦合生物质和掺烧低碳燃料等煤电机组发电改造；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70.油气与新能源融合发展等绿色低碳转型替代；</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71.氢气、二氧化碳管道输送项目建设；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72.能源领域首台（套）重大技术装备研制及示范项目建设</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73.燃气轮机创新发展示范项目建设；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lang w:eastAsia="zh-CN"/>
        </w:rPr>
        <w:t>炼油企业实施绿色低碳技术应用和节能降碳改造升级</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lang w:eastAsia="zh-CN"/>
        </w:rPr>
        <w:t>煤制油气（含煤炭分质分级利用）企业实施绿色低碳技术应用和节能降碳改造升级。</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（八）新能源和可再生能源产业领域关键技术研发与设备制造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76.大尺寸低能耗晶硅生产关键设备研发与制造；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77.高效光伏电池关键浆料规模化生产技术研发与关键设备制造；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78.高性能光伏胶膜及核心材料技术研发与生产；</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79.异质结、钙钛矿等先进高效太阳电池高效率规模化产线关键设备研发与制造；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80.老旧光伏电站升级改造项目及先进技术应用；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81.抽水蓄能机组产业链项目建设；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82.新型储能产业链项目；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83.深远海漂浮式风电关键设备研发、制造与应用；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84.大容量海上风电机组关键零部件、材料研发与制造；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85.大功率风电机组验证与检测平台；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86.风力发电机组动力学仿真软件研发、生产与应用；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lang w:val="en" w:eastAsia="zh-CN"/>
        </w:rPr>
        <w:t>其他</w:t>
      </w:r>
      <w:r>
        <w:rPr>
          <w:rFonts w:hint="eastAsia" w:ascii="仿宋_GB2312" w:hAnsi="仿宋_GB2312" w:eastAsia="仿宋_GB2312" w:cs="仿宋_GB2312"/>
          <w:sz w:val="32"/>
          <w:szCs w:val="32"/>
          <w:lang w:val="en-US" w:eastAsia="zh-CN"/>
        </w:rPr>
        <w:t>风电产业链项目建设；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光热发电、地热发电及工业领域太阳能热利用产业链项目</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89.光热大开口槽式集热器关键设备技术研发与生产制造；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90.三代核电、高温气冷堆、快堆、模块化小型堆、海上浮动堆等核电关键技术装备研发和制造；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91.智能化、信息化技术在核电研发、制造、建设和运行管理中的应用；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92.核能综合利用示范项目建设；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生物质</w:t>
      </w:r>
      <w:r>
        <w:rPr>
          <w:rFonts w:hint="eastAsia" w:ascii="仿宋_GB2312" w:hAnsi="仿宋_GB2312" w:eastAsia="仿宋_GB2312" w:cs="仿宋_GB2312"/>
          <w:sz w:val="32"/>
          <w:szCs w:val="32"/>
          <w:lang w:eastAsia="zh-CN"/>
        </w:rPr>
        <w:t>能</w:t>
      </w:r>
      <w:r>
        <w:rPr>
          <w:rFonts w:hint="eastAsia" w:ascii="仿宋_GB2312" w:hAnsi="仿宋_GB2312" w:eastAsia="仿宋_GB2312" w:cs="仿宋_GB2312"/>
          <w:sz w:val="32"/>
          <w:szCs w:val="32"/>
        </w:rPr>
        <w:t>多元化利用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lang w:eastAsia="zh-CN"/>
        </w:rPr>
        <w:t>非粮生物质液体燃料。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val="en"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九</w:t>
      </w:r>
      <w:r>
        <w:rPr>
          <w:rFonts w:hint="eastAsia" w:ascii="楷体" w:hAnsi="楷体" w:eastAsia="楷体" w:cs="楷体"/>
          <w:sz w:val="32"/>
          <w:szCs w:val="32"/>
          <w:lang w:eastAsia="zh-CN"/>
        </w:rPr>
        <w:t>）</w:t>
      </w:r>
      <w:r>
        <w:rPr>
          <w:rFonts w:hint="eastAsia" w:ascii="楷体" w:hAnsi="楷体" w:eastAsia="楷体" w:cs="楷体"/>
          <w:sz w:val="32"/>
          <w:szCs w:val="32"/>
          <w:lang w:eastAsia="zh"/>
        </w:rPr>
        <w:t>氢能</w:t>
      </w:r>
      <w:r>
        <w:rPr>
          <w:rFonts w:hint="eastAsia" w:ascii="楷体" w:hAnsi="楷体" w:eastAsia="楷体" w:cs="楷体"/>
          <w:sz w:val="32"/>
          <w:szCs w:val="32"/>
          <w:lang w:eastAsia="zh-CN"/>
        </w:rPr>
        <w:t>产业</w:t>
      </w:r>
      <w:r>
        <w:rPr>
          <w:rFonts w:hint="eastAsia" w:ascii="楷体" w:hAnsi="楷体" w:eastAsia="楷体" w:cs="楷体"/>
          <w:sz w:val="32"/>
          <w:szCs w:val="32"/>
          <w:lang w:eastAsia="zh"/>
        </w:rPr>
        <w:t>研发</w:t>
      </w:r>
      <w:r>
        <w:rPr>
          <w:rFonts w:hint="eastAsia" w:ascii="楷体" w:hAnsi="楷体" w:eastAsia="楷体" w:cs="楷体"/>
          <w:sz w:val="32"/>
          <w:szCs w:val="32"/>
          <w:lang w:eastAsia="zh-CN"/>
        </w:rPr>
        <w:t>、</w:t>
      </w:r>
      <w:r>
        <w:rPr>
          <w:rFonts w:hint="eastAsia" w:ascii="楷体" w:hAnsi="楷体" w:eastAsia="楷体" w:cs="楷体"/>
          <w:sz w:val="32"/>
          <w:szCs w:val="32"/>
          <w:lang w:eastAsia="zh"/>
        </w:rPr>
        <w:t>制造</w:t>
      </w:r>
      <w:r>
        <w:rPr>
          <w:rFonts w:hint="eastAsia" w:ascii="楷体" w:hAnsi="楷体" w:eastAsia="楷体" w:cs="楷体"/>
          <w:sz w:val="32"/>
          <w:szCs w:val="32"/>
          <w:lang w:eastAsia="zh-CN"/>
        </w:rPr>
        <w:t>和应用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低能耗长寿命可再生能源电解水制氢装置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高压气态储氢、有机液态储氢、液氨储氢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低能耗低蒸发低温液氢、轻质高容量固态储氢</w:t>
      </w:r>
      <w:r>
        <w:rPr>
          <w:rFonts w:hint="eastAsia" w:ascii="仿宋_GB2312" w:hAnsi="仿宋_GB2312" w:eastAsia="仿宋_GB2312" w:cs="仿宋_GB2312"/>
          <w:sz w:val="32"/>
          <w:szCs w:val="32"/>
          <w:lang w:val="en-US" w:eastAsia="zh"/>
        </w:rPr>
        <w:t>、深冷高压等储氢系统和关键设备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高压氢瓶</w:t>
      </w:r>
      <w:r>
        <w:rPr>
          <w:rFonts w:hint="eastAsia" w:ascii="仿宋_GB2312" w:hAnsi="仿宋_GB2312" w:eastAsia="仿宋_GB2312" w:cs="仿宋_GB2312"/>
          <w:sz w:val="32"/>
          <w:szCs w:val="32"/>
          <w:lang w:val="en-US" w:eastAsia="zh-CN"/>
        </w:rPr>
        <w:t>，低温液氢、有机和固态氢载体等输氢技术，输氢（掺氢）管道技术装备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98.质子交换膜、高温氧化物等燃料电池技术装备和关键材料、核心零部件等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99.高压力等级加氢站技术和关键材料、核心零部件等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100.氢能在电力、储能、交通、工业等领域创新应用项目及关键技术</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lang w:val="en" w:eastAsia="zh"/>
        </w:rPr>
        <w:t>可再生能源发电与氢能制备耦合项目及关键技术</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lang w:val="en" w:eastAsia="zh"/>
        </w:rPr>
        <w:t>掺氢燃气轮机、氢内燃机等关键技术研发和装备制造</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eastAsia="zh"/>
        </w:rPr>
      </w:pPr>
      <w:r>
        <w:rPr>
          <w:rFonts w:hint="eastAsia" w:ascii="楷体" w:hAnsi="楷体" w:eastAsia="楷体" w:cs="楷体"/>
          <w:sz w:val="32"/>
          <w:szCs w:val="32"/>
          <w:lang w:val="en-US" w:eastAsia="zh-CN"/>
        </w:rPr>
        <w:t>（十）</w:t>
      </w:r>
      <w:r>
        <w:rPr>
          <w:rFonts w:hint="eastAsia" w:ascii="楷体" w:hAnsi="楷体" w:eastAsia="楷体" w:cs="楷体"/>
          <w:sz w:val="32"/>
          <w:szCs w:val="32"/>
          <w:lang w:eastAsia="zh-CN"/>
        </w:rPr>
        <w:t>创新平台扩大技术装备更新改造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 w:eastAsia="zh"/>
        </w:rPr>
      </w:pP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lang w:val="en-US" w:eastAsia="zh"/>
        </w:rPr>
        <w:t>国家工程研究中心</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
        </w:rPr>
      </w:pP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lang w:val="en-US" w:eastAsia="zh"/>
        </w:rPr>
        <w:t>国家产业创新中心</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lang w:val="en-US" w:eastAsia="zh"/>
        </w:rPr>
        <w:t>国家企业技术中心</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国家能源研发创新平台</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107.其他</w:t>
      </w:r>
      <w:r>
        <w:rPr>
          <w:rFonts w:hint="eastAsia" w:ascii="仿宋_GB2312" w:hAnsi="仿宋_GB2312" w:eastAsia="仿宋_GB2312" w:cs="仿宋_GB2312"/>
          <w:sz w:val="32"/>
          <w:szCs w:val="32"/>
          <w:lang w:eastAsia="zh"/>
        </w:rPr>
        <w:t>创新平台</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（十一）传统产业数字化转型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108.产业链龙头骨干企业产业互联网平台搭建；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109.行业企业、解决方案供应商及第三方服务机构专业型、行业型产业互联网平台搭建；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110.重点行业龙头企业提供的行业网络安全解决方案；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111.网络安全企业搭建的网络安全应急服务指挥平台。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（十二）企业、农民和农机合作社等农机购置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112.购置大型大马力高端智能农机、粮油作物生产急需急用机具、农业生产成套设施装备、农机应急服务装备。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（十三）重点领域节能降碳、循环利用和节水改造相关设备制造和更新改造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113.支持传统行业实施系统性</w:t>
      </w:r>
      <w:r>
        <w:rPr>
          <w:rFonts w:hint="eastAsia" w:ascii="仿宋_GB2312" w:hAnsi="仿宋_GB2312" w:eastAsia="仿宋_GB2312" w:cs="仿宋_GB2312"/>
          <w:sz w:val="32"/>
          <w:szCs w:val="32"/>
          <w:lang w:val="en" w:eastAsia="zh-CN"/>
        </w:rPr>
        <w:t>绿色</w:t>
      </w:r>
      <w:r>
        <w:rPr>
          <w:rFonts w:hint="eastAsia" w:ascii="仿宋_GB2312" w:hAnsi="仿宋_GB2312" w:eastAsia="仿宋_GB2312" w:cs="仿宋_GB2312"/>
          <w:sz w:val="32"/>
          <w:szCs w:val="32"/>
          <w:lang w:val="en-US" w:eastAsia="zh-CN"/>
        </w:rPr>
        <w:t>清洁生产改造；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114.规模化二氧化碳捕集利用与封存（CCUS）示范项目建设；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115.重点领域企业、公共机构等实施锅炉、电机、风机、泵、电力变压器、制冷、照明等产品设备更新；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116.工业余热利用；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117.</w:t>
      </w:r>
      <w:r>
        <w:rPr>
          <w:rFonts w:hint="eastAsia" w:ascii="仿宋_GB2312" w:hAnsi="仿宋_GB2312" w:eastAsia="仿宋_GB2312" w:cs="仿宋_GB2312"/>
          <w:sz w:val="32"/>
          <w:szCs w:val="32"/>
        </w:rPr>
        <w:t>数据中心、通信基站、通信机房等节能降碳升级改造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超低能耗建筑、近零能耗建筑、“光储直柔”建筑等试点示范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119.园区循环化改造，园区实施工业余压余热、废气废液废渣资源化利用，提升资源利用效率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120.废塑料、废旧金属、废玻璃、废橡胶、废旧电池、废弃电器电子产品、废旧汽车、废旧纺织品等城市典型再生资源和风电光伏等新兴产业废弃物循环利用，以及煤矸石、粉煤灰、尾矿（共伴生矿）、冶金渣、工业副产石膏、建筑垃圾等大宗固体废弃物综合利用行业技术升级改造，设备更新过程中淘汰设备的报废拆解和循环利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121.农林废弃物资源化利用行业技术升级改造；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122.汽车零部件、工程机械、机床、文办设备、盾构机、航空发动机、工业机器人等拆解和再制造；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123.污水处理及资源化利用设施建设和改造；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124.高耗水企业节水改造，非常规水源利用设施建设和改造，供水管网更新改造；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125.重大节水设备、海水淡化装备产业化示范和海水淡化工程；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车船路港和地铁等能效提升改造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lang w:eastAsia="zh-CN"/>
        </w:rPr>
        <w:t>清洁能源动力船舶建造改造；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128.</w:t>
      </w:r>
      <w:r>
        <w:rPr>
          <w:rFonts w:hint="eastAsia" w:ascii="仿宋_GB2312" w:hAnsi="仿宋_GB2312" w:eastAsia="仿宋_GB2312" w:cs="仿宋_GB2312"/>
          <w:sz w:val="32"/>
          <w:szCs w:val="32"/>
          <w:lang w:eastAsia="zh-CN"/>
        </w:rPr>
        <w:t>港口码头岸电建设改造；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129.</w:t>
      </w:r>
      <w:r>
        <w:rPr>
          <w:rFonts w:hint="eastAsia" w:ascii="仿宋_GB2312" w:hAnsi="仿宋_GB2312" w:eastAsia="仿宋_GB2312" w:cs="仿宋_GB2312"/>
          <w:sz w:val="32"/>
          <w:szCs w:val="32"/>
          <w:lang w:eastAsia="zh-CN"/>
        </w:rPr>
        <w:t>提升铁路系统电气化水平；</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130.工矿企业、港口、物流园区等铁路专用线、集疏运公路和内河高等级航道网建设。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十四</w:t>
      </w:r>
      <w:r>
        <w:rPr>
          <w:rFonts w:hint="eastAsia" w:ascii="楷体" w:hAnsi="楷体" w:eastAsia="楷体" w:cs="楷体"/>
          <w:sz w:val="32"/>
          <w:szCs w:val="32"/>
          <w:lang w:eastAsia="zh-CN"/>
        </w:rPr>
        <w:t>）粮食仓储物流设施升级改造和节粮减损设备购置及更新改造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131.开展气密性、隔热性改造，应用控温、内环流、气调等绿色储粮新技术的粮食仓房改造项目；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132.平房仓高效环保进出仓设施改造提升项目；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133.应用防分级降碎装置、粉尘控制等系统的立筒仓、浅圆仓改造升级项目；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134.应用粮情传感器、测温电缆的粮情测控系统更新改造项目；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135.公路、铁路、码头接卸点以及立筒仓、浅圆仓、平房仓散粮接发设施改造提升项目；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136.粮食码头多式联运转运设施、散粮专用泊位、装卸船设施设备改造升级项目。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十五</w:t>
      </w:r>
      <w:r>
        <w:rPr>
          <w:rFonts w:hint="eastAsia" w:ascii="楷体" w:hAnsi="楷体" w:eastAsia="楷体" w:cs="楷体"/>
          <w:sz w:val="32"/>
          <w:szCs w:val="32"/>
          <w:lang w:eastAsia="zh-CN"/>
        </w:rPr>
        <w:t>）物流设施提质增效和智能化改造及相关设备购置和更新改造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137.高标准仓库改造升级项目；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138.应用自动分拣系统、堆垛机、穿梭机等设施设备的智慧立体仓储设施改造项目；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139.智慧物流枢纽、物流园区升级改造项目；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140.国家物流枢纽、国家骨干冷链物流基地、国家级示范物流园区范围内的多式联运场站和转运设施设备改造升级项目；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141.标准化托盘、周转箱等物流装载器具循环共用系统改造升级项目。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十六</w:t>
      </w:r>
      <w:r>
        <w:rPr>
          <w:rFonts w:hint="eastAsia" w:ascii="楷体" w:hAnsi="楷体" w:eastAsia="楷体" w:cs="楷体"/>
          <w:sz w:val="32"/>
          <w:szCs w:val="32"/>
          <w:lang w:eastAsia="zh-CN"/>
        </w:rPr>
        <w:t>）冷链设施智能化绿色化改造升级及相关设备购置和更新改造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142.国家骨干冷链物流基地、产销冷链集配中心、冷链物流园区的货物装卸、保鲜催熟、质量管控等设施设备智慧化改造升级项目；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143.应用自动立体货架、智能分拣、物流机器人、温度监控等设备的传统冷库改造升级项目；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144.冷链物流企业、农产品批发市场、生产加工企业冷库、中央厨房、低温车间等建筑物围护结构、制冷系统、照明设备等节能改造项目；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145.冻结间、速冻装备、冷却设备等低温加工装备设施节能改造项目。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（十七）提升战略性矿产资源</w:t>
      </w:r>
      <w:r>
        <w:rPr>
          <w:rFonts w:hint="eastAsia" w:ascii="楷体" w:hAnsi="楷体" w:eastAsia="楷体" w:cs="楷体"/>
          <w:sz w:val="32"/>
          <w:szCs w:val="32"/>
          <w:lang w:val="en" w:eastAsia="zh-CN"/>
        </w:rPr>
        <w:t>和油气资源</w:t>
      </w:r>
      <w:r>
        <w:rPr>
          <w:rFonts w:hint="eastAsia" w:ascii="楷体" w:hAnsi="楷体" w:eastAsia="楷体" w:cs="楷体"/>
          <w:sz w:val="32"/>
          <w:szCs w:val="32"/>
          <w:lang w:val="en-US" w:eastAsia="zh-CN"/>
        </w:rPr>
        <w:t>保障能力的相关设备采购和更新改造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lang w:eastAsia="zh-CN"/>
        </w:rPr>
        <w:t>国内铁、铜、镍、锂等战略性矿产资源开发项目建设；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147.钾肥骨干企业钾资源勘探、开采和钾肥生产项目建设；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148</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油气勘探开发项目建设。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十八</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教育领域技术装备更新改造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149.财务状况良好、负债率低的大学更新置换先进技术设备；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150.财务状况良好、负债率低的职业院校更新置换先进技术设备。</w:t>
      </w: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center"/>
        <w:rPr>
          <w:rFonts w:hint="default" w:asciiTheme="majorEastAsia" w:hAnsiTheme="majorEastAsia" w:eastAsiaTheme="majorEastAsia" w:cstheme="majorEastAsia"/>
          <w:b/>
          <w:bCs/>
          <w:sz w:val="44"/>
          <w:szCs w:val="44"/>
          <w:lang w:val="en-US" w:eastAsia="zh-CN"/>
        </w:rPr>
      </w:pPr>
      <w:r>
        <w:rPr>
          <w:rFonts w:hint="eastAsia" w:ascii="黑体" w:hAnsi="黑体" w:eastAsia="黑体" w:cs="黑体"/>
          <w:b w:val="0"/>
          <w:bCs w:val="0"/>
          <w:i w:val="0"/>
          <w:iCs w:val="0"/>
          <w:caps w:val="0"/>
          <w:color w:val="333333"/>
          <w:spacing w:val="0"/>
          <w:kern w:val="2"/>
          <w:sz w:val="32"/>
          <w:szCs w:val="32"/>
          <w:shd w:val="clear" w:fill="FFFFFF"/>
          <w:lang w:val="en-US" w:eastAsia="zh-CN" w:bidi="ar-SA"/>
        </w:rPr>
        <w:t>四、制造业</w:t>
      </w:r>
      <w:r>
        <w:rPr>
          <w:rFonts w:hint="default" w:ascii="黑体" w:hAnsi="黑体" w:eastAsia="黑体" w:cs="黑体"/>
          <w:b w:val="0"/>
          <w:bCs w:val="0"/>
          <w:i w:val="0"/>
          <w:iCs w:val="0"/>
          <w:caps w:val="0"/>
          <w:color w:val="333333"/>
          <w:spacing w:val="0"/>
          <w:kern w:val="2"/>
          <w:sz w:val="32"/>
          <w:szCs w:val="32"/>
          <w:shd w:val="clear" w:fill="FFFFFF"/>
          <w:lang w:val="en-US" w:eastAsia="zh-CN" w:bidi="ar-SA"/>
        </w:rPr>
        <w:t>中长期贷款禁止或严控方向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firstLineChars="20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1.窗口指导“应指导未指导”或评定为“高风险”的集成电路、平板显示项目。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firstLineChars="20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2.未通过窗口指导的新能源汽车整车项目(含新建项目、扩能项目)。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firstLineChars="20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3.化石能源制氢等《氢能产业发展中长期规划(2021-2035年)》中提出严格控制的领域。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firstLineChars="20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4.未列入《石化产业规划布局方案》的新增炼油产能，以及新建乙烯、PX、MDI项目。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firstLineChars="20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5.未列入《现代煤化工产业创新发展布局方案》的煤制烯烃项目。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firstLineChars="20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6.煤制甲醇和煤制乙二醇项目。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firstLineChars="20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7.涉及新增钢铁、电解铝、水泥、平板玻璃、船舶、铸造产能的项目(可提供省级产能置换以及项目备案、节能审查、环评等手续的项目除外)。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firstLineChars="20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8.新建尿素、磷铵、电石、烧碱、聚氯乙烯、纯碱、黄磷生产项目(落实产能置换政策的项目除外)。</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center"/>
        <w:rPr>
          <w:rFonts w:hint="default" w:asciiTheme="majorEastAsia" w:hAnsiTheme="majorEastAsia" w:eastAsiaTheme="majorEastAsia" w:cstheme="majorEastAsia"/>
          <w:b/>
          <w:bCs/>
          <w:sz w:val="44"/>
          <w:szCs w:val="44"/>
          <w:lang w:val="en-US" w:eastAsia="zh-CN"/>
        </w:rPr>
      </w:pPr>
      <w:r>
        <w:rPr>
          <w:rFonts w:hint="eastAsia" w:ascii="黑体" w:hAnsi="黑体" w:eastAsia="黑体" w:cs="黑体"/>
          <w:b w:val="0"/>
          <w:bCs w:val="0"/>
          <w:i w:val="0"/>
          <w:iCs w:val="0"/>
          <w:caps w:val="0"/>
          <w:color w:val="333333"/>
          <w:spacing w:val="0"/>
          <w:kern w:val="2"/>
          <w:sz w:val="32"/>
          <w:szCs w:val="32"/>
          <w:shd w:val="clear" w:fill="FFFFFF"/>
          <w:lang w:val="en-US" w:eastAsia="zh-CN" w:bidi="ar-SA"/>
        </w:rPr>
        <w:t>五、申报咨询电话</w:t>
      </w:r>
    </w:p>
    <w:p>
      <w:pP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深圳市坪山区发展和改革局 </w:t>
      </w:r>
      <w:bookmarkStart w:id="0" w:name="_GoBack"/>
      <w:bookmarkEnd w:id="0"/>
      <w:r>
        <w:rPr>
          <w:rFonts w:hint="eastAsia" w:ascii="仿宋_GB2312" w:hAnsi="仿宋_GB2312" w:eastAsia="仿宋_GB2312" w:cs="仿宋_GB2312"/>
          <w:kern w:val="2"/>
          <w:sz w:val="32"/>
          <w:szCs w:val="32"/>
          <w:lang w:val="en-US" w:eastAsia="zh-CN" w:bidi="ar-SA"/>
        </w:rPr>
        <w:t>0755-28467473，0755-28347186</w:t>
      </w:r>
    </w:p>
    <w:sectPr>
      <w:headerReference r:id="rId5" w:type="default"/>
      <w:footerReference r:id="rId7" w:type="default"/>
      <w:headerReference r:id="rId6" w:type="even"/>
      <w:footerReference r:id="rId8" w:type="even"/>
      <w:pgSz w:w="11906" w:h="16838"/>
      <w:pgMar w:top="1985" w:right="1616" w:bottom="1814" w:left="1616" w:header="851" w:footer="737" w:gutter="0"/>
      <w:pgNumType w:start="1"/>
      <w:cols w:space="425" w:num="1"/>
      <w:docGrid w:type="lines" w:linePitch="58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iddenHorzOCR-Identity-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141"/>
      <w:rPr>
        <w:rFonts w:ascii="仿宋_GB2312" w:hAnsi="宋体" w:eastAsia="仿宋_GB2312"/>
        <w:caps/>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141" w:firstLine="146" w:firstLineChars="50"/>
      <w:rPr>
        <w:rFonts w:ascii="Times New Roman" w:hAnsi="Times New Roman" w:eastAsia="仿宋_GB2312"/>
        <w:caps/>
        <w:sz w:val="28"/>
        <w:szCs w:val="28"/>
      </w:rPr>
    </w:pPr>
    <w:r>
      <w:rPr>
        <w:rFonts w:asciiTheme="minorEastAsia" w:hAnsiTheme="minorEastAsia" w:eastAsiaTheme="minorEastAsia"/>
        <w:caps/>
        <w:sz w:val="28"/>
        <w:szCs w:val="28"/>
      </w:rPr>
      <w:t>—</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2</w:t>
    </w:r>
    <w:r>
      <w:rPr>
        <w:rFonts w:ascii="Times New Roman" w:hAnsi="Times New Roman" w:eastAsia="仿宋_GB2312"/>
        <w:caps/>
        <w:sz w:val="28"/>
        <w:szCs w:val="28"/>
      </w:rPr>
      <w:fldChar w:fldCharType="end"/>
    </w:r>
    <w:r>
      <w:rPr>
        <w:rFonts w:asciiTheme="minorEastAsia" w:hAnsiTheme="minorEastAsia" w:eastAsiaTheme="minorEastAsia"/>
        <w:caps/>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94812"/>
    <w:rsid w:val="033D20C7"/>
    <w:rsid w:val="05005D59"/>
    <w:rsid w:val="108C51BC"/>
    <w:rsid w:val="19E910DA"/>
    <w:rsid w:val="1C24420F"/>
    <w:rsid w:val="1CDB16D8"/>
    <w:rsid w:val="29194812"/>
    <w:rsid w:val="4BF61DA8"/>
    <w:rsid w:val="55EA7AEB"/>
    <w:rsid w:val="61763D0B"/>
    <w:rsid w:val="70161A31"/>
    <w:rsid w:val="7A977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8" w:lineRule="exact"/>
      <w:jc w:val="both"/>
      <w:textAlignment w:val="center"/>
    </w:pPr>
    <w:rPr>
      <w:rFonts w:ascii="Times New Roman" w:hAnsi="Times New Roman" w:eastAsia="方正仿宋_GBK" w:cs="Times New Roman"/>
      <w:kern w:val="2"/>
      <w:sz w:val="30"/>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3">
    <w:name w:val="Normal Indent"/>
    <w:qFormat/>
    <w:uiPriority w:val="0"/>
    <w:pPr>
      <w:widowControl w:val="0"/>
      <w:spacing w:line="586" w:lineRule="exact"/>
      <w:ind w:firstLine="600" w:firstLineChars="200"/>
      <w:jc w:val="both"/>
    </w:pPr>
    <w:rPr>
      <w:rFonts w:ascii="Calibri" w:hAnsi="Calibri" w:eastAsia="方正仿宋_GBK" w:cs="Times New Roman"/>
      <w:kern w:val="2"/>
      <w:sz w:val="30"/>
      <w:szCs w:val="22"/>
      <w:lang w:val="en-US" w:eastAsia="zh-CN" w:bidi="ar-SA"/>
    </w:rPr>
  </w:style>
  <w:style w:type="paragraph" w:styleId="4">
    <w:name w:val="Body Text"/>
    <w:basedOn w:val="1"/>
    <w:qFormat/>
    <w:uiPriority w:val="0"/>
    <w:pPr>
      <w:spacing w:afterLines="0" w:afterAutospacing="0"/>
    </w:pPr>
    <w:rPr>
      <w:rFonts w:ascii="Times New Roman" w:hAnsi="Times New Roman"/>
    </w:rPr>
  </w:style>
  <w:style w:type="paragraph" w:styleId="5">
    <w:name w:val="footer"/>
    <w:basedOn w:val="1"/>
    <w:unhideWhenUsed/>
    <w:qFormat/>
    <w:uiPriority w:val="99"/>
    <w:pPr>
      <w:tabs>
        <w:tab w:val="center" w:pos="4153"/>
        <w:tab w:val="right" w:pos="8306"/>
      </w:tabs>
      <w:snapToGrid w:val="0"/>
      <w:spacing w:line="240" w:lineRule="atLeast"/>
      <w:jc w:val="left"/>
    </w:pPr>
    <w:rPr>
      <w:rFonts w:ascii="Calibri" w:hAnsi="Calibri"/>
      <w:spacing w:val="6"/>
      <w:kern w:val="0"/>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spacing w:val="6"/>
      <w:kern w:val="0"/>
      <w:sz w:val="18"/>
      <w:szCs w:val="18"/>
    </w:rPr>
  </w:style>
  <w:style w:type="paragraph" w:styleId="7">
    <w:name w:val="Normal (Web)"/>
    <w:basedOn w:val="1"/>
    <w:uiPriority w:val="0"/>
    <w:rPr>
      <w:sz w:val="24"/>
    </w:rPr>
  </w:style>
  <w:style w:type="character" w:styleId="10">
    <w:name w:val="Strong"/>
    <w:basedOn w:val="9"/>
    <w:qFormat/>
    <w:uiPriority w:val="0"/>
    <w:rPr>
      <w:b/>
    </w:rPr>
  </w:style>
  <w:style w:type="character" w:styleId="11">
    <w:name w:val="Hyperlink"/>
    <w:basedOn w:val="9"/>
    <w:uiPriority w:val="0"/>
    <w:rPr>
      <w:color w:val="0000FF"/>
      <w:u w:val="single"/>
    </w:rPr>
  </w:style>
  <w:style w:type="paragraph" w:customStyle="1" w:styleId="12">
    <w:name w:val="NormalIndent"/>
    <w:basedOn w:val="1"/>
    <w:qFormat/>
    <w:uiPriority w:val="0"/>
    <w:pPr>
      <w:widowControl/>
      <w:ind w:firstLine="420"/>
      <w:textAlignment w:val="baseline"/>
    </w:pPr>
    <w:rPr>
      <w:szCs w:val="20"/>
    </w:rPr>
  </w:style>
  <w:style w:type="character" w:customStyle="1" w:styleId="13">
    <w:name w:val="fontstyle01"/>
    <w:basedOn w:val="9"/>
    <w:uiPriority w:val="0"/>
    <w:rPr>
      <w:rFonts w:ascii="HiddenHorzOCR-Identity-H" w:hAnsi="HiddenHorzOCR-Identity-H" w:eastAsia="HiddenHorzOCR-Identity-H" w:cs="HiddenHorzOCR-Identity-H"/>
      <w:color w:val="101011"/>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2023-04-28T03:13:00Z</dcterms:created>
  <dc:creator>顾丽娜</dc:creator>
  <cp:lastModifiedBy>尹超</cp:lastModifiedBy>
  <dcterms:modified xsi:type="dcterms:W3CDTF">2023-05-26T09:41:04Z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DF6A6ACE8BCB47EAB7C7F5B28375F61B</vt:lpwstr>
  </property>
</Properties>
</file>