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 w:ascii="仿宋_GB2312" w:eastAsia="仿宋_GB2312"/>
          <w:lang w:val="en-US" w:eastAsia="zh-CN"/>
        </w:rPr>
        <w:t>附件3-2</w:t>
      </w:r>
    </w:p>
    <w:p>
      <w:pPr>
        <w:rPr>
          <w:rFonts w:hint="default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深圳市中小企业数字化转型城市试点</w:t>
      </w:r>
    </w:p>
    <w:p>
      <w:pPr>
        <w:ind w:left="0" w:leftChars="0" w:right="0" w:righ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拟改造企业申报表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（样表）</w:t>
      </w:r>
    </w:p>
    <w:p>
      <w:pPr>
        <w:rPr>
          <w:rFonts w:hint="default"/>
          <w:lang w:val="en-US" w:eastAsia="zh-CN"/>
        </w:rPr>
      </w:pPr>
    </w:p>
    <w:tbl>
      <w:tblPr>
        <w:tblStyle w:val="9"/>
        <w:tblW w:w="514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7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黑体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</w:rPr>
              <w:t>一、企业</w:t>
            </w: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基本</w:t>
            </w: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企业基本信息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*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企业名称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所属县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市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区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）：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统一社会信用代码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信息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*</w:t>
            </w:r>
          </w:p>
        </w:tc>
        <w:tc>
          <w:tcPr>
            <w:tcW w:w="3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姓名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手机号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微信号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所属行业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（单选）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sz w:val="21"/>
                <w:szCs w:val="24"/>
                <w:highlight w:val="none"/>
                <w:lang w:val="en-US" w:eastAsia="zh-CN"/>
              </w:rPr>
              <w:t>智能机器人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highlight w:val="none"/>
                <w:lang w:eastAsia="zh-Hans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1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lang w:val="en-US" w:eastAsia="zh-CN"/>
              </w:rPr>
              <w:t>半导体和集成电路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lang w:val="en-US" w:eastAsia="zh-Hans"/>
              </w:rPr>
              <w:t>精密仪器设备</w:t>
            </w:r>
            <w:r>
              <w:rPr>
                <w:rFonts w:hint="eastAsia" w:ascii="Times New Roman" w:hAnsi="Times New Roman" w:cs="Times New Roman"/>
                <w:sz w:val="21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</w:rPr>
              <w:t>其它：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企业类别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分类单选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专精特新“小巨人”企业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专精特新中小企业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创新型企业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其它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中小企业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规上企业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规下企业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中型企业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小型企业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微型企业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经营状况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*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年主营业务收入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万元；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员工数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截止到申报日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）：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设备数量*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lang w:eastAsia="zh-Hans"/>
              </w:rPr>
              <w:t>企业设备设施总台套数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lang w:eastAsia="zh-Hans"/>
              </w:rPr>
              <w:t>；企业数字化设备设施总台套数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lang w:eastAsia="zh-Hans"/>
              </w:rPr>
              <w:t>；数字化设备设施中联网（包括连接外部和企业内部网络）的设备设施台套数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1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企业的关键工序数控化率*</w:t>
            </w:r>
          </w:p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Calibri" w:hAnsi="Calibri" w:eastAsia="宋体" w:cs="Times New Roman"/>
                <w:sz w:val="21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（单选）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highlight w:val="none"/>
                <w:lang w:eastAsia="zh-Hans"/>
              </w:rPr>
              <w:t>（流程行业关键工序数控化率是指关键工序中过程控制系统（例如PLC、DCS、PCS等）的覆盖率；离散行业关键工序数控化率是指关键工序中数控系统（例如NC、DNC、CNC、FMC等）的覆盖率。）</w:t>
            </w:r>
          </w:p>
          <w:p>
            <w:pPr>
              <w:widowControl w:val="0"/>
              <w:suppressAutoHyphens/>
              <w:jc w:val="both"/>
              <w:rPr>
                <w:rFonts w:ascii="Microsoft YaHei UI" w:hAnsi="Calibri" w:eastAsia="Microsoft YaHei UI" w:cs="Times New Roman"/>
                <w:kern w:val="2"/>
                <w:sz w:val="18"/>
                <w:szCs w:val="18"/>
                <w:highlight w:val="none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Hans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Hans" w:bidi="ar-SA"/>
              </w:rPr>
              <w:t xml:space="preserve">[0-30%]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Hans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Hans" w:bidi="ar-SA"/>
              </w:rPr>
              <w:t xml:space="preserve">(30%,45%]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Hans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Hans" w:bidi="ar-SA"/>
              </w:rPr>
              <w:t xml:space="preserve">(45%,60%]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Hans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4"/>
                <w:highlight w:val="none"/>
                <w:lang w:val="en-US" w:eastAsia="zh-Hans" w:bidi="ar-SA"/>
              </w:rPr>
              <w:t>60%以上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数字化水平</w:t>
            </w:r>
          </w:p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评测等级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评测网址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：https://zjtx.sme-sc.org.cn/#/ReviewTool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无等级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一级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二级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三级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四级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黑体" w:cs="方正仿宋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二</w:t>
            </w:r>
            <w:r>
              <w:rPr>
                <w:rFonts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数字化</w:t>
            </w: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</w:rPr>
              <w:t>转型需求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数字化转型</w:t>
            </w:r>
          </w:p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基础需求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微软雅黑" w:cs="Times New Roman"/>
                <w:sz w:val="21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多选并简述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设备系统：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业务系统：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数据资源：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网络安全：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平台和产业大脑需求：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数字化转型</w:t>
            </w:r>
          </w:p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经营管理需求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微软雅黑" w:cs="Times New Roman"/>
                <w:sz w:val="21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多选并简述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研发设计：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生产管控：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产品质量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采购供应：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仓储物流：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业务流程：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运营管理：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营销管理：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产品服务：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业务协同：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售后服务：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经营战略：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管理机制：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数字化转型</w:t>
            </w:r>
          </w:p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其它需求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微软雅黑" w:cs="Times New Roman"/>
                <w:sz w:val="21"/>
                <w:szCs w:val="24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多选并简述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3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转型规划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转型参考范例：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数字信贷服务：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数字化人才：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数字化转型生态（协同转型、权益保障、法律援助等）：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其他需求：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软件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需求</w:t>
            </w:r>
          </w:p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（多选）</w:t>
            </w:r>
          </w:p>
        </w:tc>
        <w:tc>
          <w:tcPr>
            <w:tcW w:w="3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研发设计类：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CAD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CAE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CAPP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CAM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数字孪生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它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  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生产制造类：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MES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APS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PLM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PDM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它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  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质量管理类：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QMS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LIMS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它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  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运营管理类：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ERP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CRM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SRM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SCM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OA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BI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FMIS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它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  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仓储物流类：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BOM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WMS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其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它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希望得到的政府支持及工作建议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</w:tc>
        <w:tc>
          <w:tcPr>
            <w:tcW w:w="3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数字化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水平现场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诊断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公益培训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专题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培训</w:t>
            </w:r>
          </w:p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 xml:space="preserve">组织标杆企业参访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对接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优质转型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商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其他支持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  </w:t>
            </w:r>
          </w:p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工作建议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推荐使用的本行业数字化服务商及其服务产品</w:t>
            </w:r>
          </w:p>
        </w:tc>
        <w:tc>
          <w:tcPr>
            <w:tcW w:w="38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jc w:val="left"/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1.服务商：</w:t>
            </w:r>
            <w:r>
              <w:rPr>
                <w:rFonts w:hint="eastAsia" w:ascii="Times New Roman" w:hAnsi="Times New Roman" w:cs="Times New Roman"/>
                <w:sz w:val="21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，服务产品：</w:t>
            </w:r>
            <w:r>
              <w:rPr>
                <w:rFonts w:hint="eastAsia" w:ascii="Times New Roman" w:hAnsi="Times New Roman" w:cs="Times New Roman"/>
                <w:sz w:val="21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。</w:t>
            </w:r>
          </w:p>
          <w:p>
            <w:pPr>
              <w:suppressAutoHyphens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2.服务商：</w:t>
            </w:r>
            <w:r>
              <w:rPr>
                <w:rFonts w:hint="eastAsia" w:ascii="Times New Roman" w:hAnsi="Times New Roman" w:cs="Times New Roman"/>
                <w:sz w:val="21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，服务产品：</w:t>
            </w:r>
            <w:r>
              <w:rPr>
                <w:rFonts w:hint="eastAsia" w:ascii="Times New Roman" w:hAnsi="Times New Roman" w:cs="Times New Roman"/>
                <w:sz w:val="21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黑体" w:cs="方正仿宋_GBK"/>
                <w:color w:val="000000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三</w:t>
            </w:r>
            <w:r>
              <w:rPr>
                <w:rFonts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数字化</w:t>
            </w: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</w:rPr>
              <w:t>转型</w:t>
            </w:r>
            <w:r>
              <w:rPr>
                <w:rFonts w:hint="eastAsia" w:ascii="Times New Roman" w:hAnsi="Times New Roman" w:eastAsia="黑体" w:cs="方正仿宋_GBK"/>
                <w:color w:val="000000"/>
                <w:sz w:val="28"/>
                <w:szCs w:val="28"/>
                <w:lang w:eastAsia="zh-Hans"/>
              </w:rPr>
              <w:t>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2023年数字化转型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计划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投入成本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方正仿宋_GBK"/>
                <w:color w:val="000000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上云用云规划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*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设备上云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业务系统上云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资源上云（数据、视频等）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工具软件上云（数据库、操作系统等）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其他：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t>已上云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暂无进一步上云规划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未上云且暂无上云规划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数字化车间及</w:t>
            </w:r>
          </w:p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智能工厂</w:t>
            </w:r>
          </w:p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建设规划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*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拟建设数字化车间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填写拟建设个数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）：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拟建设智能工厂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填写拟建设个数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）：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u w:val="single"/>
              </w:rPr>
              <w:t xml:space="preserve"> </w:t>
            </w:r>
          </w:p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暂无建设计划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意向对接合作的数字化转型服务机构名单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填写名单并提醒拟合作服务机构及时填报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其它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数字化</w:t>
            </w:r>
          </w:p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转型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Hans" w:bidi="ar"/>
              </w:rPr>
              <w:t>规划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rPr>
                <w:rFonts w:ascii="Times New Roman" w:hAnsi="Times New Roman" w:eastAsia="仿宋_GB2312" w:cs="Times New Roman"/>
                <w:sz w:val="21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简述数字化转型整体规划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  <w:t>，600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字以内</w:t>
            </w:r>
            <w:r>
              <w:rPr>
                <w:rFonts w:ascii="Times New Roman" w:hAnsi="Times New Roman" w:eastAsia="仿宋_GB2312" w:cs="Times New Roman"/>
                <w:sz w:val="21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suppressAutoHyphens/>
              <w:spacing w:line="30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Hans"/>
              </w:rPr>
              <w:t>四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、承诺及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Hans"/>
              </w:rPr>
              <w:t>附件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  <w:r>
              <w:rPr>
                <w:rFonts w:hint="eastAsia" w:ascii="Times New Roman" w:hAnsi="Times New Roman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书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Times New Roman"/>
                <w:sz w:val="21"/>
                <w:szCs w:val="24"/>
                <w:lang w:eastAsia="zh-Hans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附件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3-1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4"/>
                <w:lang w:eastAsia="zh-Hans"/>
              </w:rPr>
              <w:t>盖章签字后扫描形成pdf文件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1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noWrap/>
            <w:vAlign w:val="center"/>
          </w:tcPr>
          <w:p>
            <w:pPr>
              <w:widowControl/>
              <w:suppressAutoHyphens/>
              <w:spacing w:line="240" w:lineRule="auto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附件材料</w:t>
            </w:r>
            <w:r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</w:t>
            </w:r>
          </w:p>
        </w:tc>
        <w:tc>
          <w:tcPr>
            <w:tcW w:w="3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微软雅黑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_GB2312" w:cs="微软雅黑"/>
                <w:color w:val="000000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微软雅黑"/>
                <w:color w:val="000000"/>
                <w:sz w:val="21"/>
                <w:szCs w:val="21"/>
                <w:lang w:eastAsia="zh-Hans" w:bidi="ar"/>
              </w:rPr>
              <w:t>.</w:t>
            </w:r>
            <w:r>
              <w:rPr>
                <w:rFonts w:hint="eastAsia" w:ascii="Times New Roman" w:hAnsi="Times New Roman" w:eastAsia="仿宋_GB2312" w:cs="微软雅黑"/>
                <w:color w:val="000000"/>
                <w:sz w:val="21"/>
                <w:szCs w:val="21"/>
                <w:lang w:bidi="ar"/>
              </w:rPr>
              <w:t>营业执照；</w:t>
            </w:r>
          </w:p>
          <w:p>
            <w:pPr>
              <w:suppressAutoHyphens/>
              <w:spacing w:line="300" w:lineRule="exact"/>
              <w:jc w:val="left"/>
              <w:rPr>
                <w:rFonts w:ascii="Times New Roman" w:hAnsi="Times New Roman" w:eastAsia="仿宋_GB2312" w:cs="微软雅黑"/>
                <w:color w:val="00000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仿宋_GB2312" w:cs="微软雅黑"/>
                <w:color w:val="000000"/>
                <w:sz w:val="21"/>
                <w:szCs w:val="21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微软雅黑"/>
                <w:color w:val="000000"/>
                <w:sz w:val="21"/>
                <w:szCs w:val="21"/>
                <w:lang w:eastAsia="zh-Hans" w:bidi="ar"/>
              </w:rPr>
              <w:t>.</w:t>
            </w:r>
            <w:r>
              <w:rPr>
                <w:rFonts w:hint="eastAsia" w:ascii="Times New Roman" w:hAnsi="Times New Roman" w:eastAsia="仿宋_GB2312" w:cs="微软雅黑"/>
                <w:color w:val="000000"/>
                <w:sz w:val="21"/>
                <w:szCs w:val="21"/>
                <w:lang w:bidi="ar"/>
              </w:rPr>
              <w:t>在“信用中国”网站</w:t>
            </w:r>
            <w:r>
              <w:rPr>
                <w:rFonts w:hint="eastAsia" w:ascii="Times New Roman" w:hAnsi="Times New Roman" w:cs="微软雅黑"/>
                <w:color w:val="000000"/>
                <w:sz w:val="21"/>
                <w:szCs w:val="21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微软雅黑"/>
                <w:color w:val="00000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eastAsia" w:ascii="Times New Roman" w:hAnsi="Times New Roman" w:eastAsia="仿宋_GB2312" w:cs="微软雅黑"/>
                <w:color w:val="000000"/>
                <w:sz w:val="21"/>
                <w:szCs w:val="21"/>
                <w:lang w:val="en-US" w:eastAsia="zh-CN" w:bidi="ar"/>
              </w:rPr>
              <w:instrText xml:space="preserve"> HYPERLINK "https://www.creditchina.gov.cn/home/xybgxzzn/" </w:instrText>
            </w:r>
            <w:r>
              <w:rPr>
                <w:rFonts w:hint="eastAsia" w:ascii="Times New Roman" w:hAnsi="Times New Roman" w:eastAsia="仿宋_GB2312" w:cs="微软雅黑"/>
                <w:color w:val="00000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eastAsia" w:ascii="Times New Roman" w:hAnsi="Times New Roman" w:eastAsia="仿宋_GB2312" w:cs="微软雅黑"/>
                <w:color w:val="000000"/>
                <w:sz w:val="21"/>
                <w:szCs w:val="21"/>
                <w:lang w:val="en-US" w:eastAsia="zh-CN" w:bidi="ar"/>
              </w:rPr>
              <w:t>https://www.creditchina.gov.cn/home/xybgxzzn/</w:t>
            </w:r>
            <w:r>
              <w:rPr>
                <w:rFonts w:hint="eastAsia" w:ascii="Times New Roman" w:hAnsi="Times New Roman" w:eastAsia="仿宋_GB2312" w:cs="微软雅黑"/>
                <w:color w:val="00000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eastAsia" w:ascii="Times New Roman" w:hAnsi="Times New Roman" w:eastAsia="仿宋_GB2312" w:cs="微软雅黑"/>
                <w:color w:val="000000"/>
                <w:sz w:val="21"/>
                <w:szCs w:val="21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仿宋_GB2312" w:cs="微软雅黑"/>
                <w:color w:val="000000"/>
                <w:sz w:val="21"/>
                <w:szCs w:val="21"/>
                <w:lang w:bidi="ar"/>
              </w:rPr>
              <w:t>下载信用信息报告</w:t>
            </w:r>
            <w:r>
              <w:rPr>
                <w:rFonts w:ascii="Times New Roman" w:hAnsi="Times New Roman" w:eastAsia="仿宋_GB2312" w:cs="微软雅黑"/>
                <w:color w:val="000000"/>
                <w:sz w:val="21"/>
                <w:szCs w:val="21"/>
                <w:lang w:bidi="ar"/>
              </w:rPr>
              <w:t>。</w:t>
            </w:r>
          </w:p>
        </w:tc>
      </w:tr>
    </w:tbl>
    <w:p/>
    <w:sectPr>
      <w:pgSz w:w="11906" w:h="16838"/>
      <w:pgMar w:top="2098" w:right="1474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wMjkzZjgwYzlkMTM4NjYzY2ZhYjRmYmJlMzJkNTQifQ=="/>
  </w:docVars>
  <w:rsids>
    <w:rsidRoot w:val="5610659D"/>
    <w:rsid w:val="043723AB"/>
    <w:rsid w:val="078F03D0"/>
    <w:rsid w:val="0B000B57"/>
    <w:rsid w:val="10D430FA"/>
    <w:rsid w:val="17C81459"/>
    <w:rsid w:val="18EF5EE4"/>
    <w:rsid w:val="1E6127D8"/>
    <w:rsid w:val="1F0E42CF"/>
    <w:rsid w:val="20A93547"/>
    <w:rsid w:val="23846E83"/>
    <w:rsid w:val="238E1C84"/>
    <w:rsid w:val="246F491A"/>
    <w:rsid w:val="24B91ACE"/>
    <w:rsid w:val="28932DF7"/>
    <w:rsid w:val="2DA50731"/>
    <w:rsid w:val="354A4278"/>
    <w:rsid w:val="39943AC9"/>
    <w:rsid w:val="3A2E3EAE"/>
    <w:rsid w:val="3AB77445"/>
    <w:rsid w:val="3B8802F0"/>
    <w:rsid w:val="3C9E53C8"/>
    <w:rsid w:val="4011230A"/>
    <w:rsid w:val="4BF60EAE"/>
    <w:rsid w:val="4D1275FD"/>
    <w:rsid w:val="4E837724"/>
    <w:rsid w:val="53A11B97"/>
    <w:rsid w:val="540E6240"/>
    <w:rsid w:val="5610659D"/>
    <w:rsid w:val="5F1D7EF8"/>
    <w:rsid w:val="62BC050C"/>
    <w:rsid w:val="69873BF2"/>
    <w:rsid w:val="6B4A72EE"/>
    <w:rsid w:val="6D4E1695"/>
    <w:rsid w:val="6F9F68E9"/>
    <w:rsid w:val="73B52665"/>
    <w:rsid w:val="77342477"/>
    <w:rsid w:val="78394C59"/>
    <w:rsid w:val="7C3E40F5"/>
    <w:rsid w:val="7C5E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仿宋_GB2312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jc w:val="left"/>
      <w:outlineLvl w:val="0"/>
    </w:pPr>
    <w:rPr>
      <w:rFonts w:ascii="黑体" w:hAnsi="黑体" w:eastAsia="黑体"/>
      <w:b w:val="0"/>
      <w:kern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楷体_GB2312" w:hAnsi="楷体_GB2312" w:eastAsia="楷体_GB2312"/>
      <w:b w:val="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仿宋_GB2312" w:hAnsi="仿宋_GB2312" w:eastAsia="仿宋_GB2312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3"/>
    </w:pPr>
    <w:rPr>
      <w:rFonts w:ascii="方正小标宋简体" w:hAnsi="方正小标宋简体" w:eastAsia="方正小标宋简体"/>
      <w:sz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"/>
    <w:basedOn w:val="1"/>
    <w:next w:val="8"/>
    <w:uiPriority w:val="0"/>
    <w:pPr>
      <w:spacing w:line="560" w:lineRule="exact"/>
    </w:pPr>
    <w:rPr>
      <w:rFonts w:ascii="Times New Roman" w:hAnsi="Times New Roman" w:eastAsia="仿宋_GB2312" w:cs="Times New Roman"/>
      <w:sz w:val="32"/>
    </w:rPr>
  </w:style>
  <w:style w:type="paragraph" w:styleId="8">
    <w:name w:val="Body Text 2"/>
    <w:basedOn w:val="1"/>
    <w:next w:val="1"/>
    <w:uiPriority w:val="0"/>
    <w:rPr>
      <w:rFonts w:ascii="仿宋_GB2312" w:hAnsi="仿宋_GB2312" w:eastAsia="仿宋_GB2312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2023-07-05T06:22:00Z</dcterms:created>
  <dc:creator>醒醒</dc:creator>
  <cp:lastModifiedBy>醒醒</cp:lastModifiedBy>
  <dcterms:modified xsi:type="dcterms:W3CDTF">2023-07-05T06:22:45Z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A73105A9145E43B1B243EF671B1881EA_11</vt:lpwstr>
  </property>
</Properties>
</file>