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黑体" w:hAnsi="黑体" w:eastAsia="黑体" w:cs="方正小标宋简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方正小标宋简体"/>
          <w:bCs/>
          <w:sz w:val="32"/>
          <w:szCs w:val="32"/>
        </w:rPr>
        <w:t>附件5</w:t>
      </w:r>
    </w:p>
    <w:p>
      <w:pPr>
        <w:spacing w:line="560" w:lineRule="exact"/>
        <w:jc w:val="left"/>
        <w:rPr>
          <w:rFonts w:hint="eastAsia" w:ascii="黑体" w:hAnsi="黑体" w:eastAsia="黑体" w:cs="方正小标宋简体"/>
          <w:bCs/>
          <w:sz w:val="32"/>
          <w:szCs w:val="32"/>
        </w:rPr>
      </w:pPr>
    </w:p>
    <w:p>
      <w:pPr>
        <w:spacing w:line="560" w:lineRule="exact"/>
        <w:jc w:val="center"/>
        <w:rPr>
          <w:rFonts w:ascii="方正小标宋简体" w:eastAsia="方正小标宋简体"/>
          <w:spacing w:val="-6"/>
          <w:sz w:val="44"/>
          <w:szCs w:val="44"/>
        </w:rPr>
      </w:pPr>
      <w:r>
        <w:rPr>
          <w:rFonts w:hint="eastAsia" w:ascii="方正小标宋简体" w:eastAsia="方正小标宋简体"/>
          <w:spacing w:val="-6"/>
          <w:sz w:val="44"/>
          <w:szCs w:val="44"/>
        </w:rPr>
        <w:t>202</w:t>
      </w:r>
      <w:r>
        <w:rPr>
          <w:rFonts w:hint="eastAsia" w:ascii="方正小标宋简体" w:eastAsia="方正小标宋简体"/>
          <w:spacing w:val="-6"/>
          <w:sz w:val="44"/>
          <w:szCs w:val="44"/>
          <w:lang w:val="en-US" w:eastAsia="zh-CN"/>
        </w:rPr>
        <w:t>4</w:t>
      </w:r>
      <w:r>
        <w:rPr>
          <w:rFonts w:hint="eastAsia" w:ascii="方正小标宋简体" w:eastAsia="方正小标宋简体"/>
          <w:spacing w:val="-6"/>
          <w:sz w:val="44"/>
          <w:szCs w:val="44"/>
        </w:rPr>
        <w:t>年度国家知识产权局专利专项研究项目申报指南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一、总体目标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以习近平新时代中国特色社会主义思想为指导，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全面</w:t>
      </w:r>
      <w:r>
        <w:rPr>
          <w:rFonts w:hint="eastAsia" w:ascii="仿宋_GB2312" w:hAnsi="宋体" w:eastAsia="仿宋_GB2312" w:cs="宋体"/>
          <w:sz w:val="32"/>
          <w:szCs w:val="32"/>
        </w:rPr>
        <w:t>贯彻党的二十大和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二十届二中全会精神，贯彻</w:t>
      </w:r>
      <w:r>
        <w:rPr>
          <w:rFonts w:hint="eastAsia" w:ascii="仿宋_GB2312" w:hAnsi="宋体" w:eastAsia="仿宋_GB2312" w:cs="宋体"/>
          <w:sz w:val="32"/>
          <w:szCs w:val="32"/>
        </w:rPr>
        <w:t>落实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中央经济工作会议精神和</w:t>
      </w:r>
      <w:r>
        <w:rPr>
          <w:rFonts w:hint="eastAsia" w:ascii="仿宋_GB2312" w:hAnsi="仿宋_GB2312" w:eastAsia="仿宋_GB2312" w:cs="仿宋_GB2312"/>
          <w:sz w:val="32"/>
          <w:szCs w:val="32"/>
        </w:rPr>
        <w:t>党中央、国务院</w:t>
      </w:r>
      <w:r>
        <w:rPr>
          <w:rFonts w:hint="eastAsia" w:ascii="仿宋_GB2312" w:hAnsi="宋体" w:eastAsia="仿宋_GB2312" w:cs="宋体"/>
          <w:sz w:val="32"/>
          <w:szCs w:val="32"/>
        </w:rPr>
        <w:t>关于全面加强知识产权保护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决策部署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深入实施</w:t>
      </w:r>
      <w:r>
        <w:rPr>
          <w:rFonts w:hint="eastAsia" w:ascii="仿宋_GB2312" w:hAnsi="仿宋_GB2312" w:eastAsia="仿宋_GB2312" w:cs="仿宋_GB2312"/>
          <w:sz w:val="32"/>
          <w:szCs w:val="32"/>
        </w:rPr>
        <w:t>《知识产权强国建设纲要（2021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2035 年）》和《“十四五”国家知识产权保护和运用规划》，</w:t>
      </w:r>
      <w:r>
        <w:rPr>
          <w:rFonts w:hint="eastAsia" w:ascii="仿宋_GB2312" w:hAnsi="Times New Roman" w:eastAsia="仿宋_GB2312"/>
          <w:sz w:val="32"/>
          <w:szCs w:val="32"/>
        </w:rPr>
        <w:t>围绕专利事业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高质量</w:t>
      </w:r>
      <w:r>
        <w:rPr>
          <w:rFonts w:hint="eastAsia" w:ascii="仿宋_GB2312" w:hAnsi="Times New Roman" w:eastAsia="仿宋_GB2312"/>
          <w:sz w:val="32"/>
          <w:szCs w:val="32"/>
        </w:rPr>
        <w:t>发展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面临的</w:t>
      </w:r>
      <w:r>
        <w:rPr>
          <w:rFonts w:hint="eastAsia" w:ascii="仿宋_GB2312" w:hAnsi="Times New Roman" w:eastAsia="仿宋_GB2312"/>
          <w:sz w:val="32"/>
          <w:szCs w:val="32"/>
        </w:rPr>
        <w:t>重点、难点问题，以及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重点产业</w:t>
      </w:r>
      <w:r>
        <w:rPr>
          <w:rFonts w:hint="eastAsia" w:ascii="仿宋_GB2312" w:hAnsi="Times New Roman" w:eastAsia="仿宋_GB2312"/>
          <w:sz w:val="32"/>
          <w:szCs w:val="32"/>
        </w:rPr>
        <w:t>关键核心技术领域开展研究，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着力</w:t>
      </w:r>
      <w:r>
        <w:rPr>
          <w:rFonts w:hint="eastAsia" w:ascii="仿宋_GB2312" w:hAnsi="宋体" w:eastAsia="仿宋_GB2312" w:cs="宋体"/>
          <w:sz w:val="32"/>
          <w:szCs w:val="32"/>
        </w:rPr>
        <w:t>形成一批高价值研究成果，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为加快世界一流专利审查机构建设</w:t>
      </w:r>
      <w:r>
        <w:rPr>
          <w:rFonts w:hint="eastAsia" w:ascii="仿宋_GB2312" w:hAnsi="Times New Roman" w:eastAsia="仿宋_GB2312"/>
          <w:sz w:val="32"/>
          <w:szCs w:val="32"/>
        </w:rPr>
        <w:t>提供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有力</w:t>
      </w:r>
      <w:r>
        <w:rPr>
          <w:rFonts w:hint="eastAsia" w:ascii="仿宋_GB2312" w:hAnsi="Times New Roman" w:eastAsia="仿宋_GB2312"/>
          <w:sz w:val="32"/>
          <w:szCs w:val="32"/>
        </w:rPr>
        <w:t>支撑。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二、申报要求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eastAsia" w:ascii="仿宋_GB2312" w:hAnsi="宋体" w:eastAsia="仿宋_GB2312" w:cs="宋体"/>
          <w:spacing w:val="-6"/>
          <w:sz w:val="32"/>
          <w:szCs w:val="32"/>
        </w:rPr>
      </w:pPr>
      <w:r>
        <w:rPr>
          <w:rFonts w:hint="eastAsia" w:ascii="仿宋_GB2312" w:hAnsi="宋体" w:eastAsia="仿宋_GB2312" w:cs="宋体"/>
          <w:spacing w:val="-6"/>
          <w:sz w:val="32"/>
          <w:szCs w:val="32"/>
        </w:rPr>
        <w:t>（一）可单独申报，</w:t>
      </w:r>
      <w:r>
        <w:rPr>
          <w:rFonts w:hint="eastAsia" w:ascii="仿宋_GB2312" w:hAnsi="宋体" w:eastAsia="仿宋_GB2312" w:cs="宋体"/>
          <w:spacing w:val="-6"/>
          <w:sz w:val="32"/>
          <w:szCs w:val="32"/>
          <w:lang w:eastAsia="zh-CN"/>
        </w:rPr>
        <w:t>亦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可3家单位/部门（不超过3家）共同申报，但须确定一家牵头单位。牵头单位需具备独立法人资格，党政机关和全额拨款事业单位不得作为牵头单位。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8"/>
          <w:sz w:val="32"/>
          <w:szCs w:val="32"/>
        </w:rPr>
        <w:t>（二）</w:t>
      </w:r>
      <w:r>
        <w:rPr>
          <w:rFonts w:hint="eastAsia" w:ascii="仿宋_GB2312" w:hAnsi="Times New Roman" w:eastAsia="仿宋_GB2312"/>
          <w:sz w:val="32"/>
          <w:szCs w:val="32"/>
        </w:rPr>
        <w:t>课题研究人员总人数为10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至</w:t>
      </w:r>
      <w:r>
        <w:rPr>
          <w:rFonts w:hint="eastAsia" w:ascii="仿宋_GB2312" w:hAnsi="Times New Roman" w:eastAsia="仿宋_GB2312"/>
          <w:sz w:val="32"/>
          <w:szCs w:val="32"/>
        </w:rPr>
        <w:t>15人，研究人员原则上应具备5年以上工作经验或3年以上研究经验。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spacing w:val="-8"/>
          <w:sz w:val="32"/>
          <w:szCs w:val="32"/>
        </w:rPr>
        <w:t>（三）申报</w:t>
      </w:r>
      <w:r>
        <w:rPr>
          <w:rFonts w:hint="eastAsia" w:ascii="仿宋_GB2312" w:hAnsi="宋体" w:eastAsia="仿宋_GB2312" w:cs="宋体"/>
          <w:spacing w:val="-6"/>
          <w:sz w:val="32"/>
          <w:szCs w:val="32"/>
        </w:rPr>
        <w:t>单位/部门</w:t>
      </w:r>
      <w:r>
        <w:rPr>
          <w:rFonts w:hint="eastAsia" w:ascii="仿宋_GB2312" w:hAnsi="Times New Roman" w:eastAsia="仿宋_GB2312"/>
          <w:sz w:val="32"/>
          <w:szCs w:val="32"/>
        </w:rPr>
        <w:t>根据本指南的重点方向，结合研究积累和工作实际，自选角度、自拟题目进行申报。选题要强化问题导向，聚焦关键点，紧跟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专利</w:t>
      </w:r>
      <w:r>
        <w:rPr>
          <w:rFonts w:hint="eastAsia" w:ascii="仿宋_GB2312" w:hAnsi="Times New Roman" w:eastAsia="仿宋_GB2312"/>
          <w:sz w:val="32"/>
          <w:szCs w:val="32"/>
        </w:rPr>
        <w:t>事业发展的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新形势新要求</w:t>
      </w:r>
      <w:r>
        <w:rPr>
          <w:rFonts w:hint="eastAsia" w:ascii="仿宋_GB2312" w:hAnsi="Times New Roman" w:eastAsia="仿宋_GB2312"/>
          <w:sz w:val="32"/>
          <w:szCs w:val="32"/>
        </w:rPr>
        <w:t>，体现研究的前瞻性、针对性和实用性。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（四）对于关键核心技术专利分析类课题，申报单位/部门应当具备专利分析研究经验。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（五）项目研究时间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一般</w:t>
      </w:r>
      <w:r>
        <w:rPr>
          <w:rFonts w:hint="eastAsia" w:ascii="仿宋_GB2312" w:hAnsi="宋体" w:eastAsia="仿宋_GB2312" w:cs="宋体"/>
          <w:sz w:val="32"/>
          <w:szCs w:val="32"/>
        </w:rPr>
        <w:t>为</w:t>
      </w:r>
      <w:r>
        <w:rPr>
          <w:rFonts w:ascii="仿宋_GB2312" w:hAnsi="宋体" w:eastAsia="仿宋_GB2312" w:cs="宋体"/>
          <w:sz w:val="32"/>
          <w:szCs w:val="32"/>
          <w:lang w:val="en"/>
        </w:rPr>
        <w:t>6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至</w:t>
      </w:r>
      <w:r>
        <w:rPr>
          <w:rFonts w:hint="eastAsia" w:ascii="仿宋_GB2312" w:hAnsi="宋体" w:eastAsia="仿宋_GB2312" w:cs="宋体"/>
          <w:sz w:val="32"/>
          <w:szCs w:val="32"/>
        </w:rPr>
        <w:t>8个月。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黑体" w:hAnsi="宋体" w:eastAsia="黑体" w:cs="宋体"/>
          <w:sz w:val="32"/>
          <w:szCs w:val="32"/>
        </w:rPr>
      </w:pPr>
      <w:r>
        <w:rPr>
          <w:rFonts w:hint="eastAsia" w:ascii="黑体" w:hAnsi="宋体" w:eastAsia="黑体" w:cs="宋体"/>
          <w:sz w:val="32"/>
          <w:szCs w:val="32"/>
        </w:rPr>
        <w:t>三、重点方向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hint="eastAsia"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（一）专利制度理论与实践类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default" w:ascii="楷体_GB2312" w:hAnsi="宋体" w:eastAsia="楷体_GB2312" w:cs="宋体"/>
          <w:b w:val="0"/>
          <w:bCs/>
          <w:sz w:val="32"/>
          <w:szCs w:val="32"/>
          <w:lang w:val="en"/>
        </w:rPr>
        <w:t>1.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zh-CN"/>
        </w:rPr>
        <w:t>新形势下法律制度研究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（1）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适应技术发展趋势的专利制度前瞻性研究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（2）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专利法实施细则及审查指南相关法条适用</w:t>
      </w:r>
      <w:r>
        <w:rPr>
          <w:rFonts w:hint="eastAsia" w:ascii="仿宋_GB2312" w:hAnsi="Times New Roman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诚实信用原则适用研究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药品专利权期限补偿规则研究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专利权评价报告制度完善研究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宋体" w:eastAsia="楷体_GB2312" w:cs="宋体"/>
          <w:b w:val="0"/>
          <w:bCs/>
          <w:sz w:val="32"/>
          <w:szCs w:val="32"/>
          <w:lang w:val="en" w:eastAsia="zh-CN"/>
        </w:rPr>
      </w:pPr>
      <w:r>
        <w:rPr>
          <w:rFonts w:hint="default" w:ascii="楷体_GB2312" w:hAnsi="宋体" w:eastAsia="楷体_GB2312" w:cs="宋体"/>
          <w:b w:val="0"/>
          <w:bCs/>
          <w:sz w:val="32"/>
          <w:szCs w:val="32"/>
          <w:lang w:val="en" w:eastAsia="zh-CN"/>
        </w:rPr>
        <w:t>2.</w:t>
      </w:r>
      <w:r>
        <w:rPr>
          <w:rFonts w:hint="eastAsia" w:ascii="楷体_GB2312" w:hAnsi="宋体" w:eastAsia="楷体_GB2312" w:cs="宋体"/>
          <w:b w:val="0"/>
          <w:bCs/>
          <w:sz w:val="32"/>
          <w:szCs w:val="32"/>
          <w:lang w:val="en" w:eastAsia="zh-CN"/>
        </w:rPr>
        <w:t>专利审查政策和标准研究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大数据、人工智能、基因技术等新领域新业态审查标准完善研究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大模型、芯片等重点</w:t>
      </w:r>
      <w:r>
        <w:rPr>
          <w:rFonts w:hint="eastAsia" w:ascii="仿宋_GB2312" w:hAnsi="Times New Roman" w:eastAsia="仿宋_GB2312"/>
          <w:sz w:val="32"/>
          <w:szCs w:val="32"/>
        </w:rPr>
        <w:t>领域审查标准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完善</w:t>
      </w:r>
      <w:r>
        <w:rPr>
          <w:rFonts w:hint="eastAsia" w:ascii="仿宋_GB2312" w:hAnsi="Times New Roman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0"/>
        <w:rPr>
          <w:rFonts w:hint="eastAsia"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人工智能生成物专利审查政策</w:t>
      </w:r>
      <w:r>
        <w:rPr>
          <w:rFonts w:hint="eastAsia" w:ascii="仿宋_GB2312" w:hAnsi="Times New Roman" w:eastAsia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促进产业创新发展的审查政策完善研究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专利审查国际对比研究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专利文献分类及应用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宋体" w:eastAsia="楷体_GB2312" w:cs="宋体"/>
          <w:b w:val="0"/>
          <w:bCs/>
          <w:sz w:val="32"/>
          <w:szCs w:val="32"/>
          <w:lang w:val="en" w:eastAsia="zh-CN"/>
        </w:rPr>
      </w:pPr>
      <w:r>
        <w:rPr>
          <w:rFonts w:hint="default" w:ascii="楷体_GB2312" w:hAnsi="宋体" w:eastAsia="楷体_GB2312" w:cs="宋体"/>
          <w:b w:val="0"/>
          <w:bCs/>
          <w:sz w:val="32"/>
          <w:szCs w:val="32"/>
          <w:lang w:val="en" w:eastAsia="zh-CN"/>
        </w:rPr>
        <w:t>3.</w:t>
      </w:r>
      <w:r>
        <w:rPr>
          <w:rFonts w:hint="eastAsia" w:ascii="楷体_GB2312" w:hAnsi="宋体" w:eastAsia="楷体_GB2312" w:cs="宋体"/>
          <w:b w:val="0"/>
          <w:bCs/>
          <w:sz w:val="32"/>
          <w:szCs w:val="32"/>
          <w:lang w:val="en" w:eastAsia="zh-CN"/>
        </w:rPr>
        <w:t>专利审查工作机制研究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聚焦审查</w:t>
      </w:r>
      <w:r>
        <w:rPr>
          <w:rFonts w:hint="eastAsia" w:ascii="仿宋_GB2312" w:hAnsi="Times New Roman" w:eastAsia="仿宋_GB2312"/>
          <w:sz w:val="32"/>
          <w:szCs w:val="32"/>
        </w:rPr>
        <w:t>体系完善、质量优异、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效率</w:t>
      </w:r>
      <w:r>
        <w:rPr>
          <w:rFonts w:hint="eastAsia" w:ascii="仿宋_GB2312" w:hAnsi="Times New Roman" w:eastAsia="仿宋_GB2312"/>
          <w:sz w:val="32"/>
          <w:szCs w:val="32"/>
        </w:rPr>
        <w:t>高效、能力突出、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创新</w:t>
      </w:r>
      <w:r>
        <w:rPr>
          <w:rFonts w:hint="eastAsia" w:ascii="仿宋_GB2312" w:hAnsi="Times New Roman" w:eastAsia="仿宋_GB2312"/>
          <w:sz w:val="32"/>
          <w:szCs w:val="32"/>
        </w:rPr>
        <w:t>主体满意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的一流专利审查机构建设相关研究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val="en"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专利</w:t>
      </w:r>
      <w:r>
        <w:rPr>
          <w:rFonts w:hint="eastAsia" w:ascii="仿宋_GB2312" w:hAnsi="Times New Roman" w:eastAsia="仿宋_GB2312"/>
          <w:iCs/>
          <w:sz w:val="32"/>
          <w:szCs w:val="32"/>
        </w:rPr>
        <w:t>审查</w:t>
      </w:r>
      <w:r>
        <w:rPr>
          <w:rFonts w:hint="eastAsia" w:ascii="仿宋_GB2312" w:hAnsi="Times New Roman" w:eastAsia="仿宋_GB2312"/>
          <w:iCs/>
          <w:sz w:val="32"/>
          <w:szCs w:val="32"/>
          <w:lang w:eastAsia="zh-CN"/>
        </w:rPr>
        <w:t>机制调整</w:t>
      </w:r>
      <w:r>
        <w:rPr>
          <w:rFonts w:hint="eastAsia" w:ascii="仿宋_GB2312" w:hAnsi="Times New Roman" w:eastAsia="仿宋_GB2312"/>
          <w:iCs/>
          <w:sz w:val="32"/>
          <w:szCs w:val="32"/>
        </w:rPr>
        <w:t>优化</w:t>
      </w:r>
      <w:r>
        <w:rPr>
          <w:rFonts w:hint="eastAsia" w:ascii="仿宋_GB2312" w:hAnsi="Times New Roman" w:eastAsia="仿宋_GB2312"/>
          <w:iCs/>
          <w:sz w:val="32"/>
          <w:szCs w:val="32"/>
          <w:lang w:eastAsia="zh-CN"/>
        </w:rPr>
        <w:t>背景下质量保障和业务指导适应性研究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iCs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iCs/>
          <w:sz w:val="32"/>
          <w:szCs w:val="32"/>
        </w:rPr>
        <w:t>（</w:t>
      </w:r>
      <w:r>
        <w:rPr>
          <w:rFonts w:hint="eastAsia" w:ascii="仿宋_GB2312" w:hAnsi="Times New Roman" w:eastAsia="仿宋_GB2312"/>
          <w:iCs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/>
          <w:iCs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/>
          <w:iCs/>
          <w:sz w:val="32"/>
          <w:szCs w:val="32"/>
        </w:rPr>
        <w:t>）</w:t>
      </w:r>
      <w:r>
        <w:rPr>
          <w:rFonts w:hint="eastAsia" w:ascii="仿宋_GB2312" w:hAnsi="Times New Roman" w:eastAsia="仿宋_GB2312"/>
          <w:iCs/>
          <w:sz w:val="32"/>
          <w:szCs w:val="32"/>
          <w:lang w:eastAsia="zh-CN"/>
        </w:rPr>
        <w:t>跨领域及融合审查模式研究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专利审查流程再造研究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（1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Times New Roman" w:eastAsia="仿宋_GB2312"/>
          <w:sz w:val="32"/>
          <w:szCs w:val="32"/>
        </w:rPr>
        <w:t>）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多模态大模型在审查工作中应用研究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" w:eastAsia="zh-CN"/>
        </w:rPr>
        <w:t>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除上述方向外，亦可围绕专利制度理论与实践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其他热点难点问题</w:t>
      </w:r>
      <w:r>
        <w:rPr>
          <w:rFonts w:hint="eastAsia" w:ascii="仿宋_GB2312" w:hAnsi="宋体" w:eastAsia="仿宋_GB2312" w:cs="宋体"/>
          <w:sz w:val="32"/>
          <w:szCs w:val="32"/>
        </w:rPr>
        <w:t>开展研究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2" w:firstLineChars="200"/>
        <w:textAlignment w:val="auto"/>
        <w:rPr>
          <w:rFonts w:ascii="楷体_GB2312" w:hAnsi="宋体" w:eastAsia="楷体_GB2312" w:cs="宋体"/>
          <w:b/>
          <w:sz w:val="32"/>
          <w:szCs w:val="32"/>
        </w:rPr>
      </w:pPr>
      <w:r>
        <w:rPr>
          <w:rFonts w:hint="eastAsia" w:ascii="楷体_GB2312" w:hAnsi="宋体" w:eastAsia="楷体_GB2312" w:cs="宋体"/>
          <w:b/>
          <w:sz w:val="32"/>
          <w:szCs w:val="32"/>
        </w:rPr>
        <w:t>（二）关键核心技术专利分析类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1.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数字经济领域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宋体"/>
          <w:sz w:val="32"/>
          <w:szCs w:val="32"/>
        </w:rPr>
        <w:t>重点聚焦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GPU、NPU等算力支撑硬件、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核心算法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、多模态大模型、类脑智能、虚拟数字人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2.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新一代信息技术领域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宋体" w:eastAsia="仿宋_GB2312" w:cs="宋体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重点聚焦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下一代移动通信、专用软件、先进封装、人工智能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3.可再生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能源领域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Calibri" w:hAnsi="Calibri" w:eastAsia="仿宋_GB2312" w:cs="Times New Roman"/>
          <w:kern w:val="2"/>
          <w:sz w:val="32"/>
          <w:szCs w:val="24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重点聚焦太阳能电池、燃料电池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、制氢技术、第三代关键核电技术、电池回收利用等。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4.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新材料领域</w:t>
      </w:r>
    </w:p>
    <w:p>
      <w:pPr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sz w:val="32"/>
          <w:szCs w:val="32"/>
        </w:rPr>
        <w:t>重点聚焦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高性能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膜材料、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新型显示材料、先进高分子材料、生物医用材料等。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5.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生物医药领域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宋体" w:eastAsia="仿宋_GB2312" w:cs="宋体"/>
          <w:kern w:val="2"/>
          <w:sz w:val="32"/>
          <w:szCs w:val="32"/>
          <w:lang w:val="en-US" w:eastAsia="zh-CN" w:bidi="ar-SA"/>
        </w:rPr>
        <w:t>重点聚焦抗体偶联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药、生物标志物检测</w:t>
      </w:r>
      <w:r>
        <w:rPr>
          <w:rFonts w:hint="eastAsia" w:ascii="仿宋_GB2312" w:hAnsi="仿宋_GB2312" w:eastAsia="宋体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中医药现代化</w:t>
      </w:r>
      <w:r>
        <w:rPr>
          <w:rFonts w:hint="eastAsia" w:ascii="仿宋_GB2312" w:hAnsi="仿宋_GB2312" w:eastAsia="宋体" w:cs="仿宋_GB2312"/>
          <w:b w:val="0"/>
          <w:bCs w:val="0"/>
          <w:color w:val="auto"/>
          <w:kern w:val="0"/>
          <w:sz w:val="32"/>
          <w:szCs w:val="32"/>
          <w:lang w:val="en-US" w:eastAsia="zh-CN" w:bidi="ar"/>
        </w:rPr>
        <w:t>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AI制药等。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6.高端制造与重大装备领域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高性能电机、高端电控系统、航空发动机、深海深地探测等。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outlineLvl w:val="0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楷体" w:hAnsi="楷体" w:eastAsia="楷体" w:cs="楷体"/>
          <w:b w:val="0"/>
          <w:bCs w:val="0"/>
          <w:color w:val="auto"/>
          <w:sz w:val="32"/>
          <w:szCs w:val="32"/>
          <w:lang w:val="en" w:eastAsia="zh-CN"/>
        </w:rPr>
        <w:t>7.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其 他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除上述方向外，亦可围绕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其他</w:t>
      </w:r>
      <w:r>
        <w:rPr>
          <w:rFonts w:hint="eastAsia" w:ascii="仿宋_GB2312" w:hAnsi="宋体" w:eastAsia="仿宋_GB2312" w:cs="宋体"/>
          <w:sz w:val="32"/>
          <w:szCs w:val="32"/>
        </w:rPr>
        <w:t>战略性新兴产业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等方面</w:t>
      </w:r>
      <w:r>
        <w:rPr>
          <w:rFonts w:hint="eastAsia" w:ascii="仿宋_GB2312" w:hAnsi="宋体" w:eastAsia="仿宋_GB2312" w:cs="宋体"/>
          <w:sz w:val="32"/>
          <w:szCs w:val="32"/>
        </w:rPr>
        <w:t>开展研究。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联系人：王 涛、孙  琨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电  话：010</w:t>
      </w:r>
      <w:r>
        <w:rPr>
          <w:rFonts w:hint="eastAsia" w:ascii="仿宋_GB2312" w:hAnsi="仿宋_GB2312" w:eastAsia="仿宋_GB2312" w:cs="仿宋_GB2312"/>
          <w:sz w:val="32"/>
          <w:szCs w:val="32"/>
        </w:rPr>
        <w:t>-</w:t>
      </w:r>
      <w:r>
        <w:rPr>
          <w:rFonts w:hint="eastAsia" w:ascii="仿宋_GB2312" w:hAnsi="宋体" w:eastAsia="仿宋_GB2312" w:cs="宋体"/>
          <w:sz w:val="32"/>
          <w:szCs w:val="32"/>
        </w:rPr>
        <w:t>62086068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62086193</w:t>
      </w:r>
    </w:p>
    <w:p>
      <w:pPr>
        <w:spacing w:line="560" w:lineRule="exact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地  址：北京市海淀区西土城路 6 号国家知识产权局审查业务管理部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审查业务</w:t>
      </w:r>
      <w:r>
        <w:rPr>
          <w:rFonts w:hint="eastAsia" w:ascii="仿宋_GB2312" w:hAnsi="宋体" w:eastAsia="仿宋_GB2312" w:cs="宋体"/>
          <w:sz w:val="32"/>
          <w:szCs w:val="32"/>
        </w:rPr>
        <w:t>研究处</w:t>
      </w:r>
    </w:p>
    <w:p>
      <w:pPr>
        <w:spacing w:line="560" w:lineRule="exact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邮  箱：xswyh@cnipa.gov.cn</w:t>
      </w:r>
    </w:p>
    <w:p>
      <w:pPr>
        <w:spacing w:line="560" w:lineRule="exact"/>
        <w:ind w:firstLine="642" w:firstLineChars="200"/>
        <w:rPr>
          <w:rFonts w:hint="eastAsia" w:ascii="楷体_GB2312" w:hAnsi="宋体" w:eastAsia="楷体_GB2312" w:cs="宋体"/>
          <w:b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Univers (W1)">
    <w:altName w:val="DejaVu S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0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trackRevisions w:val="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5C6E59FF000072A7" w:val=" "/>
    <w:docVar w:name="5C6E5E1000005826" w:val=" "/>
    <w:docVar w:name="5C73434D00006308" w:val=" "/>
    <w:docVar w:name="5C73B622000087FA" w:val=" "/>
    <w:docVar w:name="5C74AFEB00000C33" w:val=" "/>
    <w:docVar w:name="5C74D0CB00008B4F" w:val=" "/>
    <w:docVar w:name="5C75DB2E0000DA95" w:val=" "/>
    <w:docVar w:name="61F25C1F0000EB82" w:val=" "/>
  </w:docVars>
  <w:rsids>
    <w:rsidRoot w:val="0000551E"/>
    <w:rsid w:val="0000551E"/>
    <w:rsid w:val="00052329"/>
    <w:rsid w:val="0009319E"/>
    <w:rsid w:val="000E471E"/>
    <w:rsid w:val="00124BBD"/>
    <w:rsid w:val="00152036"/>
    <w:rsid w:val="001771B0"/>
    <w:rsid w:val="0019326C"/>
    <w:rsid w:val="001A610C"/>
    <w:rsid w:val="001C4050"/>
    <w:rsid w:val="001C4AEA"/>
    <w:rsid w:val="002062F8"/>
    <w:rsid w:val="00230F5C"/>
    <w:rsid w:val="00234F74"/>
    <w:rsid w:val="00235D43"/>
    <w:rsid w:val="00251E08"/>
    <w:rsid w:val="002643C5"/>
    <w:rsid w:val="0027371D"/>
    <w:rsid w:val="0030611E"/>
    <w:rsid w:val="00307748"/>
    <w:rsid w:val="00320D2F"/>
    <w:rsid w:val="003223EB"/>
    <w:rsid w:val="00346732"/>
    <w:rsid w:val="00375346"/>
    <w:rsid w:val="00440683"/>
    <w:rsid w:val="00444B1C"/>
    <w:rsid w:val="004478D5"/>
    <w:rsid w:val="00491307"/>
    <w:rsid w:val="00495629"/>
    <w:rsid w:val="004A5C54"/>
    <w:rsid w:val="004E5518"/>
    <w:rsid w:val="005911F8"/>
    <w:rsid w:val="0060655F"/>
    <w:rsid w:val="00621148"/>
    <w:rsid w:val="00636469"/>
    <w:rsid w:val="006443B2"/>
    <w:rsid w:val="00661ABC"/>
    <w:rsid w:val="00663EDA"/>
    <w:rsid w:val="006C1F41"/>
    <w:rsid w:val="006C4D21"/>
    <w:rsid w:val="006F16B2"/>
    <w:rsid w:val="00705044"/>
    <w:rsid w:val="00783954"/>
    <w:rsid w:val="007C04F1"/>
    <w:rsid w:val="007E2508"/>
    <w:rsid w:val="00835243"/>
    <w:rsid w:val="00837B2A"/>
    <w:rsid w:val="00843D36"/>
    <w:rsid w:val="00844FDF"/>
    <w:rsid w:val="008548CB"/>
    <w:rsid w:val="008551F2"/>
    <w:rsid w:val="00865CF5"/>
    <w:rsid w:val="008824A3"/>
    <w:rsid w:val="008B1C35"/>
    <w:rsid w:val="00905473"/>
    <w:rsid w:val="00931F9E"/>
    <w:rsid w:val="00941981"/>
    <w:rsid w:val="009A362D"/>
    <w:rsid w:val="00A42203"/>
    <w:rsid w:val="00A60797"/>
    <w:rsid w:val="00A85D40"/>
    <w:rsid w:val="00AA1932"/>
    <w:rsid w:val="00AD5C1A"/>
    <w:rsid w:val="00AD5C42"/>
    <w:rsid w:val="00B06A80"/>
    <w:rsid w:val="00B1154D"/>
    <w:rsid w:val="00B25D16"/>
    <w:rsid w:val="00B41802"/>
    <w:rsid w:val="00B858CD"/>
    <w:rsid w:val="00BD4AD9"/>
    <w:rsid w:val="00C55845"/>
    <w:rsid w:val="00C55997"/>
    <w:rsid w:val="00C97023"/>
    <w:rsid w:val="00CA5E69"/>
    <w:rsid w:val="00CB21F5"/>
    <w:rsid w:val="00CB6F43"/>
    <w:rsid w:val="00D345D3"/>
    <w:rsid w:val="00D51555"/>
    <w:rsid w:val="00DB10F0"/>
    <w:rsid w:val="00DB3B34"/>
    <w:rsid w:val="00E05672"/>
    <w:rsid w:val="00E4000A"/>
    <w:rsid w:val="00E67CC4"/>
    <w:rsid w:val="00EE73FE"/>
    <w:rsid w:val="00F35663"/>
    <w:rsid w:val="00F80EAB"/>
    <w:rsid w:val="067F1962"/>
    <w:rsid w:val="07FFC35B"/>
    <w:rsid w:val="11FF2110"/>
    <w:rsid w:val="13040FDE"/>
    <w:rsid w:val="1CF745AA"/>
    <w:rsid w:val="1DF792EB"/>
    <w:rsid w:val="1EFFAAE0"/>
    <w:rsid w:val="2FBE73A6"/>
    <w:rsid w:val="32D98225"/>
    <w:rsid w:val="33F7CCD4"/>
    <w:rsid w:val="348FCE0E"/>
    <w:rsid w:val="36B72BF6"/>
    <w:rsid w:val="3BFF552E"/>
    <w:rsid w:val="3DAFB9E8"/>
    <w:rsid w:val="3E6F3362"/>
    <w:rsid w:val="3EFB297A"/>
    <w:rsid w:val="3F7F12C1"/>
    <w:rsid w:val="3FEFD1E8"/>
    <w:rsid w:val="3FF212CB"/>
    <w:rsid w:val="3FFD0885"/>
    <w:rsid w:val="4BCB3B68"/>
    <w:rsid w:val="4EAAB28E"/>
    <w:rsid w:val="4FE3B222"/>
    <w:rsid w:val="50B7070A"/>
    <w:rsid w:val="517FDC4B"/>
    <w:rsid w:val="53BFA9A1"/>
    <w:rsid w:val="57EDE418"/>
    <w:rsid w:val="5BFE7AB9"/>
    <w:rsid w:val="5DF23797"/>
    <w:rsid w:val="5E1DC548"/>
    <w:rsid w:val="5EBD58E1"/>
    <w:rsid w:val="5EFE41B4"/>
    <w:rsid w:val="5F3BE1A7"/>
    <w:rsid w:val="5F5F243B"/>
    <w:rsid w:val="5FC7884D"/>
    <w:rsid w:val="5FE2E9F4"/>
    <w:rsid w:val="5FF7B814"/>
    <w:rsid w:val="5FFEFF5F"/>
    <w:rsid w:val="65DE5F4F"/>
    <w:rsid w:val="6DF7325F"/>
    <w:rsid w:val="6E290CC8"/>
    <w:rsid w:val="6EA50F04"/>
    <w:rsid w:val="6F5D2290"/>
    <w:rsid w:val="6FF711F0"/>
    <w:rsid w:val="76D54189"/>
    <w:rsid w:val="76DDDD1B"/>
    <w:rsid w:val="76DF0CEB"/>
    <w:rsid w:val="7715D6B8"/>
    <w:rsid w:val="774E2122"/>
    <w:rsid w:val="795FF23C"/>
    <w:rsid w:val="7967F486"/>
    <w:rsid w:val="7A9E12BA"/>
    <w:rsid w:val="7AFD5FFC"/>
    <w:rsid w:val="7CDEF602"/>
    <w:rsid w:val="7CFFC98F"/>
    <w:rsid w:val="7DFF15CB"/>
    <w:rsid w:val="7ECFCAEB"/>
    <w:rsid w:val="7EFF2891"/>
    <w:rsid w:val="7F55751B"/>
    <w:rsid w:val="7FB5CD32"/>
    <w:rsid w:val="7FECD21E"/>
    <w:rsid w:val="7FEE052A"/>
    <w:rsid w:val="7FEFA1B3"/>
    <w:rsid w:val="7FF49A8B"/>
    <w:rsid w:val="7FFD269E"/>
    <w:rsid w:val="7FFF47DD"/>
    <w:rsid w:val="7FFFC65F"/>
    <w:rsid w:val="7FFFE6D9"/>
    <w:rsid w:val="81FDA80F"/>
    <w:rsid w:val="85FFD839"/>
    <w:rsid w:val="865A9D8F"/>
    <w:rsid w:val="8EE74D7F"/>
    <w:rsid w:val="9F9FDB5B"/>
    <w:rsid w:val="A5FCC4CA"/>
    <w:rsid w:val="AABF21C6"/>
    <w:rsid w:val="AEFB0F53"/>
    <w:rsid w:val="B79D2F26"/>
    <w:rsid w:val="BAB9FD2F"/>
    <w:rsid w:val="BDFF25F8"/>
    <w:rsid w:val="BEE6CD90"/>
    <w:rsid w:val="BEFEBD7D"/>
    <w:rsid w:val="C7FF9AD7"/>
    <w:rsid w:val="CDFBD7A6"/>
    <w:rsid w:val="CF9F6761"/>
    <w:rsid w:val="CFFAA286"/>
    <w:rsid w:val="D3D9DBBD"/>
    <w:rsid w:val="D74A336F"/>
    <w:rsid w:val="DBB672AC"/>
    <w:rsid w:val="DF3E1EC3"/>
    <w:rsid w:val="DF8ECCEE"/>
    <w:rsid w:val="DFBBDC48"/>
    <w:rsid w:val="DFBFC394"/>
    <w:rsid w:val="DFEF6B29"/>
    <w:rsid w:val="E2964498"/>
    <w:rsid w:val="E3FFA590"/>
    <w:rsid w:val="E74729FA"/>
    <w:rsid w:val="EBDE35EC"/>
    <w:rsid w:val="EC19DAFA"/>
    <w:rsid w:val="EFAC6CF2"/>
    <w:rsid w:val="EFBB0551"/>
    <w:rsid w:val="EFFBC2F1"/>
    <w:rsid w:val="F17FF79A"/>
    <w:rsid w:val="F37DDD0C"/>
    <w:rsid w:val="F5DF826E"/>
    <w:rsid w:val="F6575F29"/>
    <w:rsid w:val="F77DEB3E"/>
    <w:rsid w:val="F7BD2009"/>
    <w:rsid w:val="F7CC2998"/>
    <w:rsid w:val="F7D7B205"/>
    <w:rsid w:val="F7FAE20F"/>
    <w:rsid w:val="FB7F5290"/>
    <w:rsid w:val="FBEC3E41"/>
    <w:rsid w:val="FE5F7DF7"/>
    <w:rsid w:val="FEF15F11"/>
    <w:rsid w:val="FEFFB534"/>
    <w:rsid w:val="FFDB3FE9"/>
    <w:rsid w:val="FFDF182F"/>
    <w:rsid w:val="FFF71D2A"/>
    <w:rsid w:val="FFFFFB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Univers (W1)" w:hAnsi="Univers (W1)" w:eastAsia="黑体"/>
      <w:b/>
      <w:sz w:val="32"/>
      <w:szCs w:val="20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unhideWhenUsed/>
    <w:qFormat/>
    <w:uiPriority w:val="99"/>
    <w:rPr>
      <w:rFonts w:ascii="Times New Roman" w:hAnsi="Times New Roman"/>
      <w:kern w:val="0"/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标题 2 Char"/>
    <w:link w:val="2"/>
    <w:uiPriority w:val="0"/>
    <w:rPr>
      <w:rFonts w:ascii="Univers (W1)" w:hAnsi="Univers (W1)" w:eastAsia="黑体"/>
      <w:b/>
      <w:kern w:val="2"/>
      <w:sz w:val="32"/>
    </w:rPr>
  </w:style>
  <w:style w:type="character" w:customStyle="1" w:styleId="10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1">
    <w:name w:val="页脚 Char"/>
    <w:link w:val="4"/>
    <w:qFormat/>
    <w:uiPriority w:val="99"/>
    <w:rPr>
      <w:sz w:val="18"/>
      <w:szCs w:val="18"/>
    </w:rPr>
  </w:style>
  <w:style w:type="character" w:customStyle="1" w:styleId="12">
    <w:name w:val="页眉 Char"/>
    <w:link w:val="5"/>
    <w:semiHidden/>
    <w:qFormat/>
    <w:uiPriority w:val="99"/>
    <w:rPr>
      <w:sz w:val="18"/>
      <w:szCs w:val="18"/>
    </w:rPr>
  </w:style>
  <w:style w:type="character" w:customStyle="1" w:styleId="13">
    <w:name w:val="z-窗体顶端 Char"/>
    <w:link w:val="14"/>
    <w:qFormat/>
    <w:uiPriority w:val="0"/>
    <w:rPr>
      <w:rFonts w:ascii="Arial" w:hAnsi="Times New Roman" w:eastAsia="宋体" w:cs="Times New Roman"/>
      <w:vanish/>
      <w:sz w:val="16"/>
      <w:szCs w:val="24"/>
    </w:rPr>
  </w:style>
  <w:style w:type="paragraph" w:customStyle="1" w:styleId="14">
    <w:name w:val="z-窗体顶端1"/>
    <w:basedOn w:val="1"/>
    <w:next w:val="1"/>
    <w:link w:val="13"/>
    <w:qFormat/>
    <w:uiPriority w:val="0"/>
    <w:pPr>
      <w:pBdr>
        <w:bottom w:val="single" w:color="auto" w:sz="6" w:space="1"/>
      </w:pBdr>
      <w:jc w:val="center"/>
    </w:pPr>
    <w:rPr>
      <w:rFonts w:ascii="Arial" w:hAnsi="Times New Roman"/>
      <w:vanish/>
      <w:kern w:val="0"/>
      <w:sz w:val="16"/>
      <w:szCs w:val="24"/>
    </w:rPr>
  </w:style>
  <w:style w:type="character" w:customStyle="1" w:styleId="15">
    <w:name w:val="z-窗体底端 Char"/>
    <w:link w:val="16"/>
    <w:qFormat/>
    <w:uiPriority w:val="0"/>
    <w:rPr>
      <w:rFonts w:ascii="Arial" w:hAnsi="Times New Roman" w:eastAsia="宋体" w:cs="Times New Roman"/>
      <w:vanish/>
      <w:sz w:val="16"/>
      <w:szCs w:val="24"/>
    </w:rPr>
  </w:style>
  <w:style w:type="paragraph" w:customStyle="1" w:styleId="16">
    <w:name w:val="z-窗体底端1"/>
    <w:basedOn w:val="1"/>
    <w:next w:val="1"/>
    <w:link w:val="15"/>
    <w:qFormat/>
    <w:uiPriority w:val="0"/>
    <w:pPr>
      <w:pBdr>
        <w:top w:val="single" w:color="auto" w:sz="6" w:space="1"/>
      </w:pBdr>
      <w:jc w:val="center"/>
    </w:pPr>
    <w:rPr>
      <w:rFonts w:ascii="Arial" w:hAnsi="Times New Roman"/>
      <w:vanish/>
      <w:kern w:val="0"/>
      <w:sz w:val="16"/>
      <w:szCs w:val="24"/>
    </w:rPr>
  </w:style>
  <w:style w:type="paragraph" w:customStyle="1" w:styleId="17">
    <w:name w:val="修订1"/>
    <w:semiHidden/>
    <w:qFormat/>
    <w:uiPriority w:val="99"/>
    <w:rPr>
      <w:rFonts w:ascii="Calibri" w:hAnsi="Calibr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240</Words>
  <Characters>1371</Characters>
  <Lines>11</Lines>
  <Paragraphs>3</Paragraphs>
  <TotalTime>3.33333333333333</TotalTime>
  <ScaleCrop>false</ScaleCrop>
  <LinksUpToDate>false</LinksUpToDate>
  <CharactersWithSpaces>1608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2022-02-06T00:47:00Z</dcterms:created>
  <dc:creator>尹鹏</dc:creator>
  <cp:lastModifiedBy>WANGQW</cp:lastModifiedBy>
  <cp:lastPrinted>2024-01-22T01:18:17Z</cp:lastPrinted>
  <dcterms:modified xsi:type="dcterms:W3CDTF">2024-02-28T09:37:06Z</dcterms:modified>
  <dc:title>附件5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6D2E3AAC51D4C2F2428EDE65B5116D2D</vt:lpwstr>
  </property>
</Properties>
</file>