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小标宋简体"/>
          <w:bCs/>
          <w:sz w:val="32"/>
          <w:szCs w:val="32"/>
          <w:lang w:val="en-US" w:eastAsia="zh-CN"/>
        </w:rPr>
      </w:pPr>
      <w:bookmarkStart w:id="0" w:name="_GoBack"/>
      <w:bookmarkEnd w:id="0"/>
      <w:r>
        <w:rPr>
          <w:rFonts w:hint="eastAsia" w:ascii="黑体" w:hAnsi="黑体" w:eastAsia="黑体" w:cs="方正小标宋简体"/>
          <w:bCs/>
          <w:sz w:val="32"/>
          <w:szCs w:val="32"/>
          <w:lang w:eastAsia="zh-CN"/>
        </w:rPr>
        <w:t>附件</w:t>
      </w:r>
      <w:r>
        <w:rPr>
          <w:rFonts w:hint="eastAsia" w:ascii="黑体" w:hAnsi="黑体" w:eastAsia="黑体" w:cs="方正小标宋简体"/>
          <w:bCs/>
          <w:sz w:val="32"/>
          <w:szCs w:val="32"/>
          <w:lang w:val="en-US" w:eastAsia="zh-CN"/>
        </w:rPr>
        <w:t xml:space="preserve">1 </w:t>
      </w:r>
    </w:p>
    <w:p>
      <w:pPr>
        <w:spacing w:line="560" w:lineRule="exact"/>
        <w:ind w:firstLine="0" w:firstLineChars="0"/>
        <w:jc w:val="left"/>
        <w:rPr>
          <w:rFonts w:hint="default" w:ascii="方正小标宋简体" w:hAnsi="方正小标宋简体" w:eastAsia="方正小标宋简体" w:cs="方正小标宋简体"/>
          <w:bCs/>
          <w:sz w:val="44"/>
          <w:szCs w:val="36"/>
          <w:lang w:val="en-US" w:eastAsia="zh-CN"/>
        </w:rPr>
      </w:pP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202</w:t>
      </w:r>
      <w:r>
        <w:rPr>
          <w:rFonts w:hint="eastAsia" w:ascii="方正小标宋简体" w:hAnsi="方正小标宋简体" w:eastAsia="方正小标宋简体" w:cs="方正小标宋简体"/>
          <w:bCs/>
          <w:sz w:val="44"/>
          <w:szCs w:val="36"/>
          <w:lang w:val="en-US" w:eastAsia="zh-CN"/>
        </w:rPr>
        <w:t>4</w:t>
      </w:r>
      <w:r>
        <w:rPr>
          <w:rFonts w:hint="eastAsia" w:ascii="方正小标宋简体" w:hAnsi="方正小标宋简体" w:eastAsia="方正小标宋简体" w:cs="方正小标宋简体"/>
          <w:bCs/>
          <w:sz w:val="44"/>
          <w:szCs w:val="36"/>
        </w:rPr>
        <w:t>年度国家知识产权局软科学研究项目申报指南</w:t>
      </w:r>
    </w:p>
    <w:p>
      <w:pPr>
        <w:spacing w:line="560" w:lineRule="exact"/>
        <w:ind w:firstLine="640" w:firstLineChars="200"/>
        <w:jc w:val="center"/>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以习近平新时代中国特色社会主义思想为指导，深入贯彻落实党的</w:t>
      </w:r>
      <w:r>
        <w:rPr>
          <w:rFonts w:hint="default" w:ascii="Nimbus Roman No9 L" w:hAnsi="Nimbus Roman No9 L" w:eastAsia="仿宋_GB2312" w:cs="Nimbus Roman No9 L"/>
          <w:color w:val="000000"/>
          <w:kern w:val="0"/>
          <w:sz w:val="32"/>
          <w:szCs w:val="32"/>
          <w:lang w:eastAsia="zh-CN"/>
        </w:rPr>
        <w:t>二十大</w:t>
      </w:r>
      <w:r>
        <w:rPr>
          <w:rFonts w:hint="eastAsia" w:ascii="Nimbus Roman No9 L" w:hAnsi="Nimbus Roman No9 L" w:eastAsia="仿宋_GB2312" w:cs="Nimbus Roman No9 L"/>
          <w:color w:val="000000"/>
          <w:kern w:val="0"/>
          <w:sz w:val="32"/>
          <w:szCs w:val="32"/>
          <w:lang w:eastAsia="zh-CN"/>
        </w:rPr>
        <w:t>和二十届二中全会</w:t>
      </w:r>
      <w:r>
        <w:rPr>
          <w:rFonts w:hint="default" w:ascii="Nimbus Roman No9 L" w:hAnsi="Nimbus Roman No9 L" w:eastAsia="仿宋_GB2312" w:cs="Nimbus Roman No9 L"/>
          <w:color w:val="000000"/>
          <w:kern w:val="0"/>
          <w:sz w:val="32"/>
          <w:szCs w:val="32"/>
        </w:rPr>
        <w:t>精神，围绕习近平总书记关于知识产权工作的重要指示论述和党中央、国务院</w:t>
      </w:r>
      <w:r>
        <w:rPr>
          <w:rFonts w:hint="default" w:ascii="Nimbus Roman No9 L" w:hAnsi="Nimbus Roman No9 L" w:eastAsia="仿宋_GB2312" w:cs="Nimbus Roman No9 L"/>
          <w:color w:val="000000"/>
          <w:kern w:val="0"/>
          <w:sz w:val="32"/>
          <w:szCs w:val="32"/>
          <w:lang w:eastAsia="zh-CN"/>
        </w:rPr>
        <w:t>决策部署</w:t>
      </w:r>
      <w:r>
        <w:rPr>
          <w:rFonts w:hint="default" w:ascii="Nimbus Roman No9 L" w:hAnsi="Nimbus Roman No9 L" w:eastAsia="仿宋_GB2312" w:cs="Nimbus Roman No9 L"/>
          <w:color w:val="000000"/>
          <w:kern w:val="0"/>
          <w:sz w:val="32"/>
          <w:szCs w:val="32"/>
        </w:rPr>
        <w:t>，聚焦《知识产权强国建设纲要（2021—2035年）》</w:t>
      </w:r>
      <w:r>
        <w:rPr>
          <w:rFonts w:hint="eastAsia"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《“十四五”国家知识产权保护和运用规划》</w:t>
      </w:r>
      <w:r>
        <w:rPr>
          <w:rFonts w:hint="eastAsia" w:ascii="Nimbus Roman No9 L" w:hAnsi="Nimbus Roman No9 L" w:eastAsia="仿宋_GB2312" w:cs="Nimbus Roman No9 L"/>
          <w:color w:val="000000"/>
          <w:kern w:val="0"/>
          <w:sz w:val="32"/>
          <w:szCs w:val="32"/>
          <w:lang w:eastAsia="zh-CN"/>
        </w:rPr>
        <w:t>《专利转化运用专项行动方案（</w:t>
      </w:r>
      <w:r>
        <w:rPr>
          <w:rFonts w:hint="eastAsia" w:ascii="Nimbus Roman No9 L" w:hAnsi="Nimbus Roman No9 L" w:eastAsia="仿宋_GB2312" w:cs="Nimbus Roman No9 L"/>
          <w:color w:val="000000"/>
          <w:kern w:val="0"/>
          <w:sz w:val="32"/>
          <w:szCs w:val="32"/>
          <w:lang w:val="en-US" w:eastAsia="zh-CN"/>
        </w:rPr>
        <w:t>2023—2025年）》</w:t>
      </w:r>
      <w:r>
        <w:rPr>
          <w:rFonts w:hint="default" w:ascii="Nimbus Roman No9 L" w:hAnsi="Nimbus Roman No9 L" w:eastAsia="仿宋_GB2312" w:cs="Nimbus Roman No9 L"/>
          <w:color w:val="000000"/>
          <w:kern w:val="0"/>
          <w:sz w:val="32"/>
          <w:szCs w:val="32"/>
        </w:rPr>
        <w:t>实施过程中的重点、难点、热点问题开展调查研究，着力形成有理论创新价值和实践应用价值的研究成果，为</w:t>
      </w:r>
      <w:r>
        <w:rPr>
          <w:rFonts w:hint="eastAsia" w:ascii="Nimbus Roman No9 L" w:hAnsi="Nimbus Roman No9 L" w:eastAsia="仿宋_GB2312" w:cs="Nimbus Roman No9 L"/>
          <w:color w:val="000000"/>
          <w:kern w:val="0"/>
          <w:sz w:val="32"/>
          <w:szCs w:val="32"/>
          <w:lang w:eastAsia="zh-CN"/>
        </w:rPr>
        <w:t>全面加快知识产权强国建设，奋力</w:t>
      </w:r>
      <w:r>
        <w:rPr>
          <w:rFonts w:hint="default" w:ascii="Nimbus Roman No9 L" w:hAnsi="Nimbus Roman No9 L" w:eastAsia="仿宋_GB2312" w:cs="Nimbus Roman No9 L"/>
          <w:color w:val="000000"/>
          <w:kern w:val="0"/>
          <w:sz w:val="32"/>
          <w:szCs w:val="32"/>
        </w:rPr>
        <w:t>开启知识产权</w:t>
      </w:r>
      <w:r>
        <w:rPr>
          <w:rFonts w:hint="eastAsia" w:ascii="Nimbus Roman No9 L" w:hAnsi="Nimbus Roman No9 L" w:eastAsia="仿宋_GB2312" w:cs="Nimbus Roman No9 L"/>
          <w:color w:val="000000"/>
          <w:kern w:val="0"/>
          <w:sz w:val="32"/>
          <w:szCs w:val="32"/>
          <w:lang w:eastAsia="zh-CN"/>
        </w:rPr>
        <w:t>事业发展</w:t>
      </w:r>
      <w:r>
        <w:rPr>
          <w:rFonts w:hint="default" w:ascii="Nimbus Roman No9 L" w:hAnsi="Nimbus Roman No9 L" w:eastAsia="仿宋_GB2312" w:cs="Nimbus Roman No9 L"/>
          <w:color w:val="000000"/>
          <w:kern w:val="0"/>
          <w:sz w:val="32"/>
          <w:szCs w:val="32"/>
        </w:rPr>
        <w:t>新征程提供有力支撑。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二、申报要求</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（一）要围绕项目总体目标，坚持理论研究与应用对策研究相结合，注重针对性和实用性，力求创新性和前瞻性，通过深入分析和调查研究，提出具有参考价值的对策建议。</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（二）可以根据本指南提出的重点研究方向，拟定具体题目申报，也可自行选题申报。</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（三）可2家单位/部门（不超过2家）共同申报，但须确定一家牵头单位。牵头单位需具备独立法人资格，党政机关和全额拨款事业单位不得作为牵头单位。</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（四）每个申报项目的负责人不超过2人，研究团队原则上不超过10人（含负责人）。同一负责人只能申报一个项目。在研或尚未结题的国家知识产权局软科学研究项目负责人原则上不能申报新项目。</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（五）申报单位和负责人以往承担的国家知识产权局软科学研究项目无不良信用记录。</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（六）项目研究时间期限一般为1年。</w:t>
      </w:r>
    </w:p>
    <w:p>
      <w:pPr>
        <w:numPr>
          <w:ilvl w:val="0"/>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三、重点研究内容</w:t>
      </w:r>
    </w:p>
    <w:p>
      <w:pPr>
        <w:numPr>
          <w:ilvl w:val="0"/>
          <w:numId w:val="0"/>
        </w:numPr>
        <w:spacing w:line="560" w:lineRule="exact"/>
        <w:ind w:firstLine="642" w:firstLineChars="200"/>
        <w:jc w:val="left"/>
        <w:rPr>
          <w:rFonts w:hint="eastAsia" w:ascii="Nimbus Roman No9 L" w:hAnsi="Nimbus Roman No9 L" w:eastAsia="楷体_GB2312" w:cs="Nimbus Roman No9 L"/>
          <w:b/>
          <w:bCs/>
          <w:sz w:val="32"/>
          <w:szCs w:val="22"/>
          <w:lang w:val="en-US" w:eastAsia="zh-CN"/>
        </w:rPr>
      </w:pPr>
      <w:r>
        <w:rPr>
          <w:rFonts w:hint="default" w:ascii="Nimbus Roman No9 L" w:hAnsi="Nimbus Roman No9 L" w:eastAsia="楷体_GB2312" w:cs="Nimbus Roman No9 L"/>
          <w:b/>
          <w:bCs/>
          <w:sz w:val="32"/>
          <w:szCs w:val="22"/>
          <w:lang w:val="en-US" w:eastAsia="zh-CN"/>
        </w:rPr>
        <w:t>（一）基础理论</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知识产权支撑</w:t>
      </w:r>
      <w:r>
        <w:rPr>
          <w:rFonts w:hint="eastAsia" w:ascii="Nimbus Roman No9 L" w:hAnsi="Nimbus Roman No9 L" w:eastAsia="仿宋_GB2312" w:cs="Nimbus Roman No9 L"/>
          <w:color w:val="000000"/>
          <w:kern w:val="0"/>
          <w:sz w:val="32"/>
          <w:szCs w:val="32"/>
          <w:lang w:val="en-US" w:eastAsia="zh-CN"/>
        </w:rPr>
        <w:t>数字经济高质量发展</w:t>
      </w:r>
      <w:r>
        <w:rPr>
          <w:rFonts w:hint="default" w:ascii="Nimbus Roman No9 L" w:hAnsi="Nimbus Roman No9 L" w:eastAsia="仿宋_GB2312" w:cs="Nimbus Roman No9 L"/>
          <w:color w:val="000000"/>
          <w:kern w:val="0"/>
          <w:sz w:val="32"/>
          <w:szCs w:val="32"/>
          <w:lang w:val="en-US" w:eastAsia="zh-CN"/>
        </w:rPr>
        <w:t>问题研究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知识产权权益分配作用机理研究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知识产权基础性法律</w:t>
      </w:r>
      <w:r>
        <w:rPr>
          <w:rFonts w:hint="eastAsia" w:ascii="Nimbus Roman No9 L" w:hAnsi="Nimbus Roman No9 L" w:eastAsia="仿宋_GB2312" w:cs="Nimbus Roman No9 L"/>
          <w:color w:val="000000"/>
          <w:kern w:val="0"/>
          <w:sz w:val="32"/>
          <w:szCs w:val="32"/>
          <w:lang w:val="en-US" w:eastAsia="zh-CN"/>
        </w:rPr>
        <w:t>问题</w:t>
      </w:r>
      <w:r>
        <w:rPr>
          <w:rFonts w:hint="default" w:ascii="Nimbus Roman No9 L" w:hAnsi="Nimbus Roman No9 L" w:eastAsia="仿宋_GB2312" w:cs="Nimbus Roman No9 L"/>
          <w:color w:val="000000"/>
          <w:kern w:val="0"/>
          <w:sz w:val="32"/>
          <w:szCs w:val="32"/>
          <w:lang w:val="en-US" w:eastAsia="zh-CN"/>
        </w:rPr>
        <w:t>研究</w:t>
      </w:r>
    </w:p>
    <w:p>
      <w:pPr>
        <w:numPr>
          <w:ilvl w:val="0"/>
          <w:numId w:val="0"/>
        </w:numPr>
        <w:spacing w:line="560" w:lineRule="exact"/>
        <w:ind w:firstLine="642" w:firstLineChars="200"/>
        <w:jc w:val="left"/>
        <w:rPr>
          <w:rFonts w:hint="default" w:ascii="Nimbus Roman No9 L" w:hAnsi="Nimbus Roman No9 L" w:eastAsia="楷体_GB2312" w:cs="Nimbus Roman No9 L"/>
          <w:b/>
          <w:bCs/>
          <w:sz w:val="32"/>
          <w:szCs w:val="22"/>
          <w:lang w:val="en-US" w:eastAsia="zh-CN"/>
        </w:rPr>
      </w:pPr>
      <w:r>
        <w:rPr>
          <w:rFonts w:hint="default" w:ascii="Nimbus Roman No9 L" w:hAnsi="Nimbus Roman No9 L" w:eastAsia="楷体_GB2312" w:cs="Nimbus Roman No9 L"/>
          <w:b/>
          <w:bCs/>
          <w:sz w:val="32"/>
          <w:szCs w:val="22"/>
          <w:lang w:val="en-US" w:eastAsia="zh-CN"/>
        </w:rPr>
        <w:t>（二）制度规则</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数据知识产权保护规则</w:t>
      </w:r>
      <w:r>
        <w:rPr>
          <w:rFonts w:hint="eastAsia" w:ascii="Nimbus Roman No9 L" w:hAnsi="Nimbus Roman No9 L" w:eastAsia="仿宋_GB2312" w:cs="Nimbus Roman No9 L"/>
          <w:color w:val="000000"/>
          <w:kern w:val="0"/>
          <w:sz w:val="32"/>
          <w:szCs w:val="32"/>
          <w:lang w:val="en-US" w:eastAsia="zh-CN"/>
        </w:rPr>
        <w:t>构建</w:t>
      </w:r>
      <w:r>
        <w:rPr>
          <w:rFonts w:hint="default" w:ascii="Nimbus Roman No9 L" w:hAnsi="Nimbus Roman No9 L" w:eastAsia="仿宋_GB2312" w:cs="Nimbus Roman No9 L"/>
          <w:color w:val="000000"/>
          <w:kern w:val="0"/>
          <w:sz w:val="32"/>
          <w:szCs w:val="32"/>
          <w:lang w:val="en-US" w:eastAsia="zh-CN"/>
        </w:rPr>
        <w:t>研究</w:t>
      </w:r>
    </w:p>
    <w:p>
      <w:pPr>
        <w:numPr>
          <w:ilvl w:val="0"/>
          <w:numId w:val="0"/>
        </w:numPr>
        <w:spacing w:line="560" w:lineRule="exact"/>
        <w:ind w:left="0" w:leftChars="0"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与人工智能发展相适应的知识产权规则体系建设研究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大模型在知识产权治理中的应用研究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知识产权与产业创新发展协同机制研究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专利开源规则构建与实践问题研究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标准</w:t>
      </w:r>
      <w:r>
        <w:rPr>
          <w:rFonts w:hint="eastAsia" w:ascii="Nimbus Roman No9 L" w:hAnsi="Nimbus Roman No9 L" w:eastAsia="仿宋_GB2312" w:cs="Nimbus Roman No9 L"/>
          <w:color w:val="000000"/>
          <w:kern w:val="0"/>
          <w:sz w:val="32"/>
          <w:szCs w:val="32"/>
          <w:lang w:val="en-US" w:eastAsia="zh-CN"/>
        </w:rPr>
        <w:t>与</w:t>
      </w:r>
      <w:r>
        <w:rPr>
          <w:rFonts w:hint="default" w:ascii="Nimbus Roman No9 L" w:hAnsi="Nimbus Roman No9 L" w:eastAsia="仿宋_GB2312" w:cs="Nimbus Roman No9 L"/>
          <w:color w:val="000000"/>
          <w:kern w:val="0"/>
          <w:sz w:val="32"/>
          <w:szCs w:val="32"/>
          <w:lang w:val="en-US" w:eastAsia="zh-CN"/>
        </w:rPr>
        <w:t>专利</w:t>
      </w:r>
      <w:r>
        <w:rPr>
          <w:rFonts w:hint="eastAsia" w:ascii="Nimbus Roman No9 L" w:hAnsi="Nimbus Roman No9 L" w:eastAsia="仿宋_GB2312" w:cs="Nimbus Roman No9 L"/>
          <w:color w:val="000000"/>
          <w:kern w:val="0"/>
          <w:sz w:val="32"/>
          <w:szCs w:val="32"/>
          <w:lang w:val="en-US" w:eastAsia="zh-CN"/>
        </w:rPr>
        <w:t>协同政策指引</w:t>
      </w:r>
      <w:r>
        <w:rPr>
          <w:rFonts w:hint="default" w:ascii="Nimbus Roman No9 L" w:hAnsi="Nimbus Roman No9 L" w:eastAsia="仿宋_GB2312" w:cs="Nimbus Roman No9 L"/>
          <w:color w:val="000000"/>
          <w:kern w:val="0"/>
          <w:sz w:val="32"/>
          <w:szCs w:val="32"/>
          <w:lang w:val="en-US" w:eastAsia="zh-CN"/>
        </w:rPr>
        <w:t>研究</w:t>
      </w:r>
    </w:p>
    <w:p>
      <w:pPr>
        <w:numPr>
          <w:ilvl w:val="0"/>
          <w:numId w:val="0"/>
        </w:numPr>
        <w:spacing w:line="560" w:lineRule="exact"/>
        <w:ind w:left="0" w:leftChars="0"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注册商标连续三年不使用撤销制度体系化研究</w:t>
      </w:r>
    </w:p>
    <w:p>
      <w:pPr>
        <w:numPr>
          <w:ilvl w:val="0"/>
          <w:numId w:val="0"/>
        </w:numPr>
        <w:spacing w:line="560" w:lineRule="exact"/>
        <w:ind w:left="0" w:leftChars="0" w:firstLine="640" w:firstLineChars="200"/>
        <w:rPr>
          <w:rFonts w:hint="eastAsia"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地理标志</w:t>
      </w:r>
      <w:r>
        <w:rPr>
          <w:rFonts w:hint="eastAsia" w:ascii="Nimbus Roman No9 L" w:hAnsi="Nimbus Roman No9 L" w:eastAsia="仿宋_GB2312" w:cs="Nimbus Roman No9 L"/>
          <w:color w:val="000000"/>
          <w:kern w:val="0"/>
          <w:sz w:val="32"/>
          <w:szCs w:val="32"/>
          <w:lang w:val="en-US" w:eastAsia="zh-CN"/>
        </w:rPr>
        <w:t>专门</w:t>
      </w:r>
      <w:r>
        <w:rPr>
          <w:rFonts w:hint="default" w:ascii="Nimbus Roman No9 L" w:hAnsi="Nimbus Roman No9 L" w:eastAsia="仿宋_GB2312" w:cs="Nimbus Roman No9 L"/>
          <w:color w:val="000000"/>
          <w:kern w:val="0"/>
          <w:sz w:val="32"/>
          <w:szCs w:val="32"/>
          <w:lang w:val="en-US" w:eastAsia="zh-CN"/>
        </w:rPr>
        <w:t>立法研究</w:t>
      </w:r>
      <w:r>
        <w:rPr>
          <w:rFonts w:hint="eastAsia" w:ascii="Nimbus Roman No9 L" w:hAnsi="Nimbus Roman No9 L" w:eastAsia="仿宋_GB2312" w:cs="Nimbus Roman No9 L"/>
          <w:color w:val="000000"/>
          <w:kern w:val="0"/>
          <w:sz w:val="32"/>
          <w:szCs w:val="32"/>
          <w:lang w:val="en-US" w:eastAsia="zh-CN"/>
        </w:rPr>
        <w:t xml:space="preserve"> </w:t>
      </w:r>
    </w:p>
    <w:p>
      <w:pPr>
        <w:numPr>
          <w:ilvl w:val="0"/>
          <w:numId w:val="0"/>
        </w:numPr>
        <w:spacing w:line="560" w:lineRule="exact"/>
        <w:ind w:firstLine="642" w:firstLineChars="200"/>
        <w:jc w:val="left"/>
        <w:rPr>
          <w:rFonts w:hint="default" w:ascii="Nimbus Roman No9 L" w:hAnsi="Nimbus Roman No9 L" w:eastAsia="楷体_GB2312" w:cs="Nimbus Roman No9 L"/>
          <w:b/>
          <w:bCs/>
          <w:sz w:val="32"/>
          <w:szCs w:val="22"/>
          <w:lang w:val="en-US" w:eastAsia="zh-CN"/>
        </w:rPr>
      </w:pPr>
      <w:r>
        <w:rPr>
          <w:rFonts w:hint="default" w:ascii="Nimbus Roman No9 L" w:hAnsi="Nimbus Roman No9 L" w:eastAsia="楷体_GB2312" w:cs="Nimbus Roman No9 L"/>
          <w:b/>
          <w:bCs/>
          <w:sz w:val="32"/>
          <w:szCs w:val="22"/>
          <w:lang w:val="en-US" w:eastAsia="zh-CN"/>
        </w:rPr>
        <w:t>（三）工作实践</w:t>
      </w:r>
    </w:p>
    <w:p>
      <w:pPr>
        <w:numPr>
          <w:ilvl w:val="0"/>
          <w:numId w:val="0"/>
        </w:numPr>
        <w:spacing w:line="560" w:lineRule="exact"/>
        <w:ind w:firstLine="640" w:firstLineChars="200"/>
        <w:jc w:val="both"/>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1. 知识产权保护问题研究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知识产权涉外风险防控体系研究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知识产权领域严重失信惩戒制度研究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商标权多元纠纷解决机制研究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地理标志产业助推区域特色经济高质量发展路径研究</w:t>
      </w:r>
    </w:p>
    <w:p>
      <w:pPr>
        <w:numPr>
          <w:ilvl w:val="0"/>
          <w:numId w:val="0"/>
        </w:numPr>
        <w:spacing w:line="560" w:lineRule="exact"/>
        <w:ind w:left="630" w:leftChars="0"/>
        <w:jc w:val="both"/>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2.</w:t>
      </w:r>
      <w:r>
        <w:rPr>
          <w:rFonts w:hint="default" w:ascii="Nimbus Roman No9 L" w:hAnsi="Nimbus Roman No9 L" w:eastAsia="仿宋_GB2312" w:cs="Nimbus Roman No9 L"/>
          <w:color w:val="000000"/>
          <w:kern w:val="0"/>
          <w:sz w:val="32"/>
          <w:szCs w:val="32"/>
          <w:lang w:val="en-US" w:eastAsia="zh-CN"/>
        </w:rPr>
        <w:t xml:space="preserve"> 知识产权运用问题研究</w:t>
      </w:r>
    </w:p>
    <w:p>
      <w:pPr>
        <w:numPr>
          <w:ilvl w:val="0"/>
          <w:numId w:val="0"/>
        </w:numPr>
        <w:spacing w:line="560" w:lineRule="exact"/>
        <w:ind w:firstLine="64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创新联合体专利池构建模式研究</w:t>
      </w:r>
    </w:p>
    <w:p>
      <w:pPr>
        <w:numPr>
          <w:ilvl w:val="0"/>
          <w:numId w:val="0"/>
        </w:numPr>
        <w:spacing w:line="560" w:lineRule="exact"/>
        <w:ind w:firstLine="64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标准必要专利必要性审查机制和许可谈判策略研究</w:t>
      </w:r>
    </w:p>
    <w:p>
      <w:pPr>
        <w:numPr>
          <w:ilvl w:val="0"/>
          <w:numId w:val="0"/>
        </w:numPr>
        <w:spacing w:line="560" w:lineRule="exact"/>
        <w:ind w:firstLine="64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多元化知识产权金融促进转化运用相关问题研究</w:t>
      </w:r>
    </w:p>
    <w:p>
      <w:pPr>
        <w:numPr>
          <w:ilvl w:val="0"/>
          <w:numId w:val="0"/>
        </w:numPr>
        <w:spacing w:line="560" w:lineRule="exact"/>
        <w:ind w:firstLine="64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市场导向下的存量专利筛选与企业对接机制研究</w:t>
      </w:r>
    </w:p>
    <w:p>
      <w:pPr>
        <w:numPr>
          <w:ilvl w:val="0"/>
          <w:numId w:val="0"/>
        </w:numPr>
        <w:spacing w:line="560" w:lineRule="exact"/>
        <w:ind w:firstLine="64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专利产业化促进中小企业成长模式研究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3.</w:t>
      </w:r>
      <w:r>
        <w:rPr>
          <w:rFonts w:hint="default" w:ascii="Nimbus Roman No9 L" w:hAnsi="Nimbus Roman No9 L" w:eastAsia="仿宋_GB2312" w:cs="Nimbus Roman No9 L"/>
          <w:color w:val="000000"/>
          <w:kern w:val="0"/>
          <w:sz w:val="32"/>
          <w:szCs w:val="32"/>
          <w:lang w:val="en-US" w:eastAsia="zh-CN"/>
        </w:rPr>
        <w:t xml:space="preserve"> 知识产权服务问题研究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知识产权公共服务理论与实践研究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知识产权数据的治理机制及自主可控数据库建设研究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世界银行全球营商环境评估体系知识产权评价指标研究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知识产权服务业高质量发展问题研究</w:t>
      </w:r>
    </w:p>
    <w:p>
      <w:pPr>
        <w:numPr>
          <w:ilvl w:val="0"/>
          <w:numId w:val="0"/>
        </w:numPr>
        <w:spacing w:line="560" w:lineRule="exact"/>
        <w:ind w:firstLine="640" w:firstLineChars="200"/>
        <w:jc w:val="both"/>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4.</w:t>
      </w:r>
      <w:r>
        <w:rPr>
          <w:rFonts w:hint="default" w:ascii="Nimbus Roman No9 L" w:hAnsi="Nimbus Roman No9 L" w:eastAsia="仿宋_GB2312" w:cs="Nimbus Roman No9 L"/>
          <w:color w:val="000000"/>
          <w:kern w:val="0"/>
          <w:sz w:val="32"/>
          <w:szCs w:val="32"/>
          <w:lang w:val="en-US" w:eastAsia="zh-CN"/>
        </w:rPr>
        <w:t xml:space="preserve"> 知识产权人才问题研究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知识产权人才国家培养载体建设研究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全国知识产权职称分类评价研究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知识产权知识体系建设研究</w:t>
      </w:r>
    </w:p>
    <w:p>
      <w:pPr>
        <w:numPr>
          <w:ilvl w:val="0"/>
          <w:numId w:val="0"/>
        </w:numPr>
        <w:spacing w:line="560" w:lineRule="exact"/>
        <w:ind w:firstLine="640" w:firstLineChars="200"/>
        <w:jc w:val="both"/>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青少年知识产权教育体系理论及实践问题研究</w:t>
      </w:r>
    </w:p>
    <w:p>
      <w:pPr>
        <w:numPr>
          <w:ilvl w:val="0"/>
          <w:numId w:val="0"/>
        </w:numPr>
        <w:spacing w:line="560" w:lineRule="exact"/>
        <w:ind w:firstLine="640" w:firstLineChars="200"/>
        <w:jc w:val="both"/>
        <w:rPr>
          <w:rFonts w:hint="default" w:ascii="Nimbus Roman No9 L" w:hAnsi="Nimbus Roman No9 L" w:eastAsia="仿宋_GB2312" w:cs="Nimbus Roman No9 L"/>
          <w:color w:val="000000"/>
          <w:kern w:val="0"/>
          <w:sz w:val="32"/>
          <w:szCs w:val="32"/>
          <w:lang w:val="en-US" w:eastAsia="zh-CN"/>
        </w:rPr>
      </w:pPr>
      <w:r>
        <w:rPr>
          <w:rFonts w:hint="default" w:ascii="Nimbus Roman No9 L" w:hAnsi="Nimbus Roman No9 L" w:eastAsia="仿宋_GB2312" w:cs="Nimbus Roman No9 L"/>
          <w:color w:val="000000"/>
          <w:kern w:val="0"/>
          <w:sz w:val="32"/>
          <w:szCs w:val="32"/>
          <w:lang w:val="en-US" w:eastAsia="zh-CN"/>
        </w:rPr>
        <w:t>5. 知识产权国际问题研究</w:t>
      </w:r>
    </w:p>
    <w:p>
      <w:pPr>
        <w:numPr>
          <w:ilvl w:val="0"/>
          <w:numId w:val="0"/>
        </w:numPr>
        <w:spacing w:line="560" w:lineRule="exact"/>
        <w:ind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知识产权国际竞争最新动向及应对研究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我国加入重要知识产权国际条约可行性研究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“一带一路”“金砖国家”等知识产权重要国际合作机制合作拓展策略研究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“一带一路”国家地理标志保护管理制度研究</w:t>
      </w:r>
    </w:p>
    <w:sectPr>
      <w:footerReference r:id="rId3" w:type="default"/>
      <w:pgSz w:w="11906" w:h="16838"/>
      <w:pgMar w:top="1440" w:right="1800" w:bottom="215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EF193"/>
    <w:rsid w:val="2F46CCF2"/>
    <w:rsid w:val="4ED30E5F"/>
    <w:rsid w:val="4EDAC75A"/>
    <w:rsid w:val="5AFF89FB"/>
    <w:rsid w:val="5F5E8F56"/>
    <w:rsid w:val="5F95A647"/>
    <w:rsid w:val="67F784C7"/>
    <w:rsid w:val="6FDF8798"/>
    <w:rsid w:val="77EB4FE1"/>
    <w:rsid w:val="77EBD3AF"/>
    <w:rsid w:val="7BB396D7"/>
    <w:rsid w:val="7F7B0319"/>
    <w:rsid w:val="7FEA65D2"/>
    <w:rsid w:val="7FFF9EC5"/>
    <w:rsid w:val="8E77AA78"/>
    <w:rsid w:val="96F77F25"/>
    <w:rsid w:val="A5FA169C"/>
    <w:rsid w:val="ACF78764"/>
    <w:rsid w:val="AE7C89F3"/>
    <w:rsid w:val="AEF6101C"/>
    <w:rsid w:val="B7FC53BB"/>
    <w:rsid w:val="BCD990D2"/>
    <w:rsid w:val="BE751B9E"/>
    <w:rsid w:val="BF7FB893"/>
    <w:rsid w:val="BF9EF193"/>
    <w:rsid w:val="C5CA848A"/>
    <w:rsid w:val="CEE983F9"/>
    <w:rsid w:val="CFF3B24F"/>
    <w:rsid w:val="D7130ABD"/>
    <w:rsid w:val="DD7FEF2E"/>
    <w:rsid w:val="E5EB7985"/>
    <w:rsid w:val="EF683374"/>
    <w:rsid w:val="F36F3AB2"/>
    <w:rsid w:val="F3BE9B7B"/>
    <w:rsid w:val="F3E744B6"/>
    <w:rsid w:val="F6FFFAFA"/>
    <w:rsid w:val="FB8DC3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cs="Times New Roman"/>
      <w:b/>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7.33333333333333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2023-02-28T16:43:00Z</dcterms:created>
  <dc:creator>李奕霏</dc:creator>
  <cp:lastModifiedBy>WANGQW</cp:lastModifiedBy>
  <cp:lastPrinted>2024-02-04T07:53:31Z</cp:lastPrinted>
  <dcterms:modified xsi:type="dcterms:W3CDTF">2024-02-28T09:33:46Z</dcterms:modified>
  <dc:title>附件1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3FAD0BB80589809A7A8DDE653C5DF85E</vt:lpwstr>
  </property>
</Properties>
</file>