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件4</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2265680</wp:posOffset>
                </wp:positionH>
                <wp:positionV relativeFrom="paragraph">
                  <wp:posOffset>285115</wp:posOffset>
                </wp:positionV>
                <wp:extent cx="2733040" cy="635"/>
                <wp:effectExtent l="0" t="0" r="0" b="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2336;mso-width-relative:page;mso-height-relative:page;" filled="f" stroked="t" coordsize="21600,21600" o:gfxdata="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jF&#10;09DYAAAACQEAAA8AAAAAAAAAAQAgAAAAIgAAAGRycy9kb3ducmV2LnhtbFBLAQIUABQAAAAIAIdO&#10;4kC1BaQT6gEAAKoDAAAOAAAAAAAAAAEAIAAAACcBAABkcnMvZTJvRG9jLnhtbFBLBQYAAAAABgAG&#10;AFkBAACD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2242820</wp:posOffset>
                </wp:positionH>
                <wp:positionV relativeFrom="paragraph">
                  <wp:posOffset>300355</wp:posOffset>
                </wp:positionV>
                <wp:extent cx="2700020" cy="635"/>
                <wp:effectExtent l="0" t="0" r="0" b="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3360;mso-width-relative:page;mso-height-relative:page;" filled="f" stroked="t" coordsize="21600,21600" o:gfxdata="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iNc&#10;X9cAAAAJAQAADwAAAAAAAAABACAAAAAiAAAAZHJzL2Rvd25yZXYueG1sUEsBAhQAFAAAAAgAh07i&#10;QHnZvyjqAQAAqgMAAA4AAAAAAAAAAQAgAAAAJgEAAGRycy9lMm9Eb2MueG1sUEsFBgAAAAAGAAYA&#10;WQEAAII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5"/>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
    <w:p/>
    <w:p>
      <w:pPr>
        <w:jc w:val="center"/>
        <w:outlineLvl w:val="1"/>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绿色供应链管理</w:t>
      </w:r>
      <w:r>
        <w:rPr>
          <w:rFonts w:hint="eastAsia" w:ascii="方正小标宋简体" w:hAnsi="方正小标宋简体" w:eastAsia="方正小标宋简体" w:cs="方正小标宋简体"/>
          <w:sz w:val="36"/>
          <w:szCs w:val="36"/>
          <w:highlight w:val="none"/>
          <w:lang w:val="en-US" w:eastAsia="zh-CN"/>
        </w:rPr>
        <w:t>企业</w:t>
      </w:r>
      <w:r>
        <w:rPr>
          <w:rFonts w:hint="eastAsia" w:ascii="方正小标宋简体" w:hAnsi="方正小标宋简体" w:eastAsia="方正小标宋简体" w:cs="方正小标宋简体"/>
          <w:sz w:val="36"/>
          <w:szCs w:val="36"/>
          <w:highlight w:val="none"/>
        </w:rPr>
        <w:t>评价要求</w:t>
      </w:r>
    </w:p>
    <w:p>
      <w:pPr>
        <w:rPr>
          <w:rFonts w:hint="eastAsia"/>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（一）定义、目的及范围</w:t>
      </w:r>
    </w:p>
    <w:p>
      <w:pPr>
        <w:ind w:firstLine="640" w:firstLineChars="200"/>
        <w:rPr>
          <w:rFonts w:hint="eastAsia" w:ascii="仿宋_GB2312" w:eastAsia="仿宋_GB2312"/>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ind w:firstLine="640" w:firstLineChars="200"/>
        <w:rPr>
          <w:rFonts w:hint="eastAsia"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eastAsia"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（二）基本要求</w:t>
      </w:r>
    </w:p>
    <w:p>
      <w:pPr>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pPr>
        <w:ind w:firstLine="640" w:firstLineChars="200"/>
        <w:rPr>
          <w:rFonts w:hint="eastAsia"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（二）实施绿色供应商管理</w:t>
      </w:r>
    </w:p>
    <w:p>
      <w:pPr>
        <w:ind w:firstLine="640" w:firstLineChars="200"/>
        <w:rPr>
          <w:rFonts w:hint="eastAsia"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eastAsia" w:ascii="仿宋_GB2312" w:eastAsia="仿宋_GB2312"/>
          <w:sz w:val="32"/>
          <w:szCs w:val="32"/>
          <w:lang w:val="en-US" w:eastAsia="zh-CN"/>
        </w:rPr>
        <w:t>材料</w:t>
      </w:r>
      <w:r>
        <w:rPr>
          <w:rFonts w:hint="eastAsia" w:ascii="仿宋_GB2312" w:eastAsia="仿宋_GB2312"/>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（三）强化绿色生产</w:t>
      </w:r>
    </w:p>
    <w:p>
      <w:pPr>
        <w:ind w:firstLine="640" w:firstLineChars="200"/>
        <w:outlineLvl w:val="9"/>
        <w:rPr>
          <w:rFonts w:hint="eastAsia"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hint="default"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（四）建设绿色回收体系</w:t>
      </w:r>
    </w:p>
    <w:p>
      <w:pPr>
        <w:ind w:firstLine="640" w:firstLineChars="200"/>
        <w:rPr>
          <w:rFonts w:hint="eastAsia"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pPr>
        <w:ind w:firstLine="640" w:firstLineChars="200"/>
        <w:rPr>
          <w:rFonts w:hint="eastAsia" w:ascii="仿宋_GB2312" w:eastAsia="仿宋_GB2312"/>
          <w:sz w:val="32"/>
          <w:szCs w:val="32"/>
        </w:rPr>
      </w:pPr>
      <w:r>
        <w:rPr>
          <w:rFonts w:hint="eastAsia" w:ascii="仿宋_GB2312" w:eastAsia="仿宋_GB2312"/>
          <w:bCs/>
          <w:sz w:val="32"/>
          <w:szCs w:val="32"/>
        </w:rPr>
        <w:t>企业要建立能源消耗在线监测体系和</w:t>
      </w:r>
      <w:bookmarkStart w:id="0" w:name="OLE_LINK1"/>
      <w:bookmarkStart w:id="1" w:name="OLE_LINK2"/>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pPr>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第三方</w:t>
      </w:r>
      <w:r>
        <w:rPr>
          <w:rFonts w:hint="eastAsia" w:ascii="仿宋_GB2312" w:eastAsia="仿宋_GB2312"/>
          <w:sz w:val="32"/>
          <w:szCs w:val="32"/>
          <w:lang w:val="en-US" w:eastAsia="zh-CN"/>
        </w:rPr>
        <w:t>机构</w:t>
      </w:r>
      <w:r>
        <w:rPr>
          <w:rFonts w:hint="eastAsia" w:ascii="仿宋_GB2312" w:eastAsia="仿宋_GB2312"/>
          <w:sz w:val="32"/>
          <w:szCs w:val="32"/>
          <w:lang w:eastAsia="zh-CN"/>
        </w:rPr>
        <w:t>根据</w:t>
      </w:r>
      <w:r>
        <w:rPr>
          <w:rFonts w:hint="eastAsia" w:ascii="仿宋_GB2312" w:eastAsia="仿宋_GB2312"/>
          <w:sz w:val="32"/>
          <w:szCs w:val="32"/>
        </w:rPr>
        <w:t>绿色供应链管理关键环节，按照评价标准对企业进行实地调查，查阅相关文件、报表、数据等，确保评价结果客观准确。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（二）评价指标体系</w:t>
      </w:r>
    </w:p>
    <w:p>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hint="default" w:ascii="Times New Roman" w:hAnsi="Times New Roman" w:eastAsia="仿宋_GB2312" w:cs="Times New Roman"/>
          <w:sz w:val="32"/>
          <w:szCs w:val="32"/>
        </w:rPr>
        <w:t>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pPr>
        <w:ind w:left="0" w:leftChars="0" w:firstLine="0" w:firstLineChars="0"/>
        <w:jc w:val="center"/>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绿色供应链管理</w:t>
            </w:r>
          </w:p>
          <w:p>
            <w:pPr>
              <w:jc w:val="center"/>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实施绿色供应商</w:t>
            </w:r>
          </w:p>
          <w:p>
            <w:pPr>
              <w:jc w:val="center"/>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180" w:type="dxa"/>
            <w:vMerge w:val="continue"/>
            <w:vAlign w:val="center"/>
          </w:tcPr>
          <w:p>
            <w:pP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Merge w:val="restart"/>
            <w:vAlign w:val="center"/>
          </w:tcPr>
          <w:p>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bl>
    <w:p>
      <w:pPr>
        <w:ind w:firstLine="640" w:firstLineChars="200"/>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pPr>
        <w:ind w:firstLine="630"/>
        <w:rPr>
          <w:rFonts w:hint="eastAsia" w:ascii="仿宋_GB2312" w:eastAsia="仿宋_GB2312"/>
          <w:sz w:val="32"/>
          <w:szCs w:val="32"/>
        </w:rPr>
      </w:pPr>
      <w:r>
        <w:rPr>
          <w:rFonts w:hint="eastAsia" w:ascii="仿宋_GB2312" w:eastAsia="仿宋_GB2312"/>
          <w:sz w:val="32"/>
          <w:szCs w:val="32"/>
        </w:rPr>
        <w:t>企业绿色供应链管理指数的计算公式如下。</w:t>
      </w:r>
    </w:p>
    <w:p>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ind w:left="320" w:hanging="320" w:hangingChars="100"/>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65408;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黑体" w:cs="Times New Roman"/>
          <w:sz w:val="32"/>
          <w:szCs w:val="32"/>
          <w:highlight w:val="none"/>
        </w:rPr>
        <w:sectPr>
          <w:footerReference r:id="rId3" w:type="default"/>
          <w:pgSz w:w="11906" w:h="16838"/>
          <w:pgMar w:top="1701" w:right="1587" w:bottom="1587"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02F25"/>
    <w:rsid w:val="72746943"/>
    <w:rsid w:val="7B90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Title"/>
    <w:next w:val="1"/>
    <w:qFormat/>
    <w:uiPriority w:val="10"/>
    <w:pPr>
      <w:widowControl w:val="0"/>
      <w:spacing w:before="240" w:after="60"/>
      <w:jc w:val="center"/>
    </w:pPr>
    <w:rPr>
      <w:rFonts w:eastAsia="方正小标宋简体" w:asciiTheme="minorHAnsi" w:hAnsiTheme="minorHAnsi" w:cstheme="minorBidi"/>
      <w:bCs/>
      <w:kern w:val="2"/>
      <w:sz w:val="44"/>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2024-03-22T04:38:00Z</dcterms:created>
  <dc:creator>佢是阿宇</dc:creator>
  <cp:lastModifiedBy>佢是阿宇</cp:lastModifiedBy>
  <dcterms:modified xsi:type="dcterms:W3CDTF">2024-03-22T04:40:01Z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