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color w:val="000000"/>
          <w:sz w:val="30"/>
          <w:lang w:val="en-US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广东省推进个体工商户转型升级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促进高质量发展若干措施</w:t>
      </w:r>
      <w:bookmarkStart w:id="0" w:name="_GoBack"/>
      <w:bookmarkEnd w:id="0"/>
    </w:p>
    <w:p>
      <w:pPr>
        <w:pStyle w:val="3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为贯彻落实《促进个体工商户发展条例》</w:t>
      </w:r>
      <w:r>
        <w:rPr>
          <w:rFonts w:hint="eastAsia" w:eastAsia="仿宋_GB2312" w:cs="Times New Roman"/>
          <w:spacing w:val="0"/>
          <w:kern w:val="2"/>
          <w:sz w:val="32"/>
          <w:szCs w:val="32"/>
          <w:lang w:val="en-US" w:eastAsia="zh-CN" w:bidi="ar-SA"/>
        </w:rPr>
        <w:t>，推进我省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个体工商户转型升级为企业（以下简称“个转企”）</w:t>
      </w:r>
      <w:r>
        <w:rPr>
          <w:rFonts w:hint="eastAsia" w:eastAsia="仿宋_GB2312" w:cs="Times New Roman"/>
          <w:spacing w:val="0"/>
          <w:kern w:val="2"/>
          <w:sz w:val="32"/>
          <w:szCs w:val="32"/>
          <w:lang w:val="en-US" w:eastAsia="zh-CN" w:bidi="ar-SA"/>
        </w:rPr>
        <w:t>，促进</w:t>
      </w:r>
      <w:r>
        <w:rPr>
          <w:rFonts w:hint="eastAsia" w:eastAsia="仿宋_GB2312"/>
          <w:szCs w:val="32"/>
        </w:rPr>
        <w:t>经济结构优化，</w:t>
      </w:r>
      <w:r>
        <w:rPr>
          <w:rFonts w:hint="eastAsia" w:eastAsia="仿宋_GB2312" w:cs="Times New Roman"/>
          <w:spacing w:val="0"/>
          <w:kern w:val="2"/>
          <w:sz w:val="32"/>
          <w:szCs w:val="32"/>
          <w:lang w:val="en-US" w:eastAsia="zh-CN" w:bidi="ar-SA"/>
        </w:rPr>
        <w:t>助推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高质量发展，结合我省实际</w:t>
      </w:r>
      <w:r>
        <w:rPr>
          <w:rFonts w:hint="eastAsia" w:eastAsia="仿宋_GB2312" w:cs="Times New Roman"/>
          <w:spacing w:val="0"/>
          <w:kern w:val="2"/>
          <w:sz w:val="32"/>
          <w:szCs w:val="32"/>
          <w:lang w:val="en-US" w:eastAsia="zh-CN" w:bidi="ar-SA"/>
        </w:rPr>
        <w:t>制定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以下措施。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一、优化转型登记服务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自主选择转型组织形式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个体工商户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可以自愿转型为企业，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自由选择转型为有限责任公司、股份有限公司、个人独资企业、合伙企业等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组织形式，执行全国统一的登记管理政策文件和规范要求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个体工商户申请转变为企业组织形式，应当按照拟变更的企业类型设立条件申请登记。转型为公司制企业的，应当按照《公司法》有关规定设定注册资本，明确出资期限，完善法人治理机构，建立公司章程，推动健全现代企业制度。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（省市场监管局牵头负责）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.建立“个转企”动态培育库。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各地建立以县级为单位的“个转企”动态培育库，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有序推进潜力较大、成长性好的个体工商户逐步转型升级为企业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。对处于持续壮大阶段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有较强市场竞争力的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“成长型”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“发展型”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拥有良好商誉的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“名特优新”个体工商户，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以及符合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较大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制造业、较大规模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业等条件的个体工商户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，予以重点跟踪、培育，鼓励、引导其转型升级为企业。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（各地级以上市人民政府结合实际落实）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3.推行“个转企”直接变更登记。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体工商户转型为企业，可以注销原个体工商户，再申请设立新的企业，也可以向原个体工商户的登记机关申请办理变更登记。转型前应当结清依法应缴纳的税款等，对原有债权债务作出妥善处理，不得损害他人的合法权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szCs w:val="32"/>
          <w:lang w:eastAsia="zh-CN"/>
        </w:rPr>
        <w:t>支持</w:t>
      </w:r>
      <w:r>
        <w:rPr>
          <w:rFonts w:hint="eastAsia" w:ascii="Times New Roman" w:hAnsi="Times New Roman" w:cs="Times New Roman"/>
          <w:szCs w:val="32"/>
        </w:rPr>
        <w:t>“个转企”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根据企业名称管理规定使用原个体工商户名称中的字号。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不改变住所（经营场所）的，无需提交企业住所（经营场所）使用证明材料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“个转企”直接变更登记的，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可以延续使用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原个体工商户的统一社会信用代码和成立日期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登记机关应当出具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《个体工商户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变更登记通知书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或个体工商户转型为企业证明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完成转型的企业（以下简称转型企业）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申请政策优惠及办理其他手续提供便利。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（省市场监管局牵头负责）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4.实施高效办成“个转企一件事”。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依托广东省政务服务网，线上集成“个转企一件事”主题服务，整合企业变更登记、企业印章刻制、基本账号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变更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、社会保险登记、住房公积金企业缴存登记等变更事项，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强化跨部门政策、业务、系统协同和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共享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。经企业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授权同意，市场监管部门依托“一网通办”平台，将数据推送至公安、银行、税务、住建等部门，相关部门采取集成化办理、一网通办、一表申报、提供指导服务等方式，为“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个转企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”提供便利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（省市场监管局牵头负责，省公安厅、省住房城乡建设厅、省政务服务和数据管理局、省税务局、中国人民银行广东省分行按职责分工负责）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二、加强转型手续衔接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5.简化行政许可手续。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各有关审批部门要优化许可审批流程，做好“个转企”登记、许可的有效衔接。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转型企业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涉及食品、餐饮、卫生、消防等行政许可，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原许可批准文件仍在有效期限内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的，相关部门凭《个体工商户变更登记通知书》等相关材料，对涉及的审批事项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过户手续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，按照直接变更登记、实行告知承诺、优化审批服务等方式办理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。涉及现场核查的，若经营条件未发生变化、经营项目减项或者未发生变化的，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优先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适用告知承诺办理。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转型企业涉及烟草零售许可，原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个体工商户经营者与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转型为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个人独资企业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投资人为同一自然人的，可以向审批机关申请变更烟草专卖零售许可证企业类型或组成形式。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（省市场监管局、省住房城乡建设厅、省卫生健康委、省烟草专卖局、省消防救援总队等部门按职责分工负责，各地级以上市人民政府结合实际落实）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便利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不动产登记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个体工商户转型升级为企业涉及房屋、土地权属转移需要办理不动产登记的，转型企业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按照“先税后证”原则，凭税务部门出具的完税凭证或者减免税证明，到不动产登记机构办理土地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权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及房屋所有权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变更登记。转型为小微企业涉及办理不动产登记的，提交小微企业免缴不动产登记费承诺书，按规定免收不动产登记费。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（省自然资源厅、省税务局按职责分工负责，各地级以上市人民政府结合实际落实）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7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.延续保留商标品牌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个体工商户转型升级为企业，转型前获得的各种荣誉称号，转型后原则上可予保留，荣誉授予部门应予认可。对原个体工商户享有的专利权、商标权、名称权，支持转移至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转型企业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名下。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转型企业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申报招投标项目资格，转型前个体工商户的成立日期、经营数据等条件，可以延续至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转型企业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（省市场监管局牵头，各地级以上市人民政府结合实际落实）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档案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衔接和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保留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健全完善“个转企”档案归档、查询和管理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，将原个体工商户登记资料合并至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转型企业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档案，保持转型前后档案的完整性。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登记机关保留原个体工商户登记档案和年报公示信息等事项，将变更登记相关信息通过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国家企业信用信息公示系统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向社会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公示，保持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转型企业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信用信息的延续性。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（省市场监管局牵头负责）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220" w:leftChars="0" w:firstLine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加强财税金融支持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highlight w:val="none"/>
          <w:lang w:val="zh-CN" w:eastAsia="zh-CN" w:bidi="ar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.实施财政支持。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充分发挥财政资金引导作用，鼓励各地结合实际出台相关奖励和补贴优惠政策，支持个体工商户转型升级为企业</w:t>
      </w:r>
      <w:r>
        <w:rPr>
          <w:rFonts w:hint="eastAsia" w:eastAsia="仿宋_GB2312" w:cs="Times New Roman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鼓励通过政府购买服务等方式，委托中介机构为</w:t>
      </w:r>
      <w:r>
        <w:rPr>
          <w:rFonts w:hint="eastAsia" w:eastAsia="仿宋_GB2312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提供一定期限的代理记账服务，帮助其建立财务制度。引导社会服务机构在财会、法务等方面为</w:t>
      </w:r>
      <w:r>
        <w:rPr>
          <w:rFonts w:hint="eastAsia" w:eastAsia="仿宋_GB2312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提供低价或者免费的专业服务，切实减轻企业负担。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highlight w:val="none"/>
          <w:lang w:val="zh-CN" w:eastAsia="zh-CN" w:bidi="ar"/>
        </w:rPr>
        <w:t>（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  <w:t>各地级以上市人民政府结合实际落实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highlight w:val="none"/>
          <w:lang w:val="zh-CN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10.落实减税降费政策。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符合增值税小规模纳税人、小型微利企业标准的，按规定享受减半征收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“六税两费”优惠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政策。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符合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相关政策条件的，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按规定享受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高新技术企业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减按15%税率征收企业所得税、研发费用加计扣除、投入基础研究加计扣除、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500万元以下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设备器具一次性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税前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扣除等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政策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符合</w:t>
      </w:r>
      <w:r>
        <w:rPr>
          <w:rFonts w:hint="eastAsia" w:ascii="Times New Roman" w:hAnsi="Times New Roman" w:cs="Times New Roman"/>
          <w:szCs w:val="32"/>
        </w:rPr>
        <w:t>留抵退税政策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条件的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退还增值税增量留抵税额。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原个体工商户经营者与转型企业投资者为同一自然人的，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与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其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设立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或转型为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一人有限责任公司、个人独资企业之间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划转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土地、房屋权属，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征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收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契税。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继续实施阶段性降低失业保险费率至1％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政策，其中用人单位费率降至0.8％，个人费率降至0.2％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，实施期限按照国家政策执行。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省税务局、省人力资源社会保障厅按职责分工负责）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11.提供转型信贷支持。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鼓励银行业金融机构根据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“个转企”需求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，开发专属信贷产品，推广随借随还贷款模式，扩大信用贷款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规模，加大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首贷户支持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力度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指导银行机构优化服务，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可以按规定使用原个体工商户对公账户，便利办理账户撤销、变更和开立等业务。支持银行机构对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实行服务收费优惠，降低支付手续费用，落实金融服务费用减免政策。</w:t>
      </w:r>
      <w:r>
        <w:rPr>
          <w:rFonts w:hint="eastAsia" w:ascii="楷体" w:hAnsi="楷体" w:eastAsia="楷体"/>
          <w:sz w:val="32"/>
          <w:szCs w:val="32"/>
        </w:rPr>
        <w:t>（中国人民银行广东省分行、国家金融监督管理总局广东监管局按职责分工负责）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12.加强就业创业扶持。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对符合吸纳重点群体就业等条件的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，可按规定享受就业创业补贴政策。开展创新创业之星评选，以“师带徒”方式提供定制化服务，帮扶创新创业之星项目成功创业，鼓励支持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参与评选；入选省级优秀创业项目的，可按规定给予资助。支持省内职业院校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（含技工院校）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、职业培训机构对接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发展需求，针对急需、紧缺的职业（工种）组织开展订单式、定向式职业技能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人才培养和技能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培训，对符合条件的按规定给予培训补贴。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  <w:t>（省人力资源社会保障厅、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省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  <w:t>教育厅等有关部门按职责分工负责）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四、激发转型发展动能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zh-CN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13.提高知识产权应用能力。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推动省内知识产权服务窗口、知识产权保护工作站和知识产权服务机构向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提供知识产权政策咨询、专利商标申请注册、知识产权维权援助等服务。加大对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的字号、商标、专利、商业秘密等权利的保护力度，鼓励和支持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提高知识产权的创造、保护和运用能力。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zh-CN" w:eastAsia="zh-CN" w:bidi="ar"/>
        </w:rPr>
        <w:t>（省市场监管局牵头负责）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14.提升转型企业质量。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把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纳入质量基础设施“一站式”服务、“计量服务中小企业行”、质量技术帮扶“提质强企”活动服务范围，综合运用计量、标准、检验检测等质量基础要素资源，提升质量管理能力、质量竞争力。为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提供标准分析、标准信息、标准咨询等服务，加大对国家标准、行业标准、地方标准的宣传解读，支持鼓励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参与标准制修订工作。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zh-CN" w:eastAsia="zh-CN" w:bidi="ar"/>
        </w:rPr>
        <w:t>（责任单位：省市场监管局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牵头负责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zh-CN"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zh-CN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15.支持发展线上经营模式。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提升网络营销能力，积极应用直播电商、社区电商、社交电商等模式，实现线上线下经营融合发展。鼓励电商平台企业对转型企业放宽入驻条件，给予流量扶持，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优化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线上运营规则，支持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个转企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店铺经营者凭《个体工商户</w:t>
      </w:r>
      <w:r>
        <w:rPr>
          <w:rFonts w:hint="eastAsia" w:ascii="Times New Roman" w:hAnsi="Times New Roman" w:cs="Times New Roman"/>
          <w:szCs w:val="32"/>
        </w:rPr>
        <w:t>变更登记通知书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》等相关材料高效便利办理店铺升级程序，实现店铺延续经营。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（各地级以上市人民政府，省商务厅、省市场监管局等按职责分工负责）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zh-CN" w:eastAsia="zh-CN"/>
        </w:rPr>
        <w:t>1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sz w:val="32"/>
          <w:szCs w:val="32"/>
          <w:lang w:val="zh-CN" w:eastAsia="zh-CN"/>
        </w:rPr>
        <w:t>.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探索实施</w:t>
      </w:r>
      <w:r>
        <w:rPr>
          <w:rFonts w:hint="eastAsia" w:ascii="Times New Roman" w:hAnsi="Times New Roman" w:eastAsia="楷体_GB2312" w:cs="Times New Roman"/>
          <w:sz w:val="32"/>
          <w:szCs w:val="32"/>
          <w:lang w:val="zh-CN" w:eastAsia="zh-CN"/>
        </w:rPr>
        <w:t>执法“观察期”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制度</w:t>
      </w:r>
      <w:r>
        <w:rPr>
          <w:rFonts w:hint="eastAsia" w:ascii="Times New Roman" w:hAnsi="Times New Roman" w:eastAsia="楷体_GB2312" w:cs="Times New Roman"/>
          <w:sz w:val="32"/>
          <w:szCs w:val="32"/>
          <w:lang w:val="zh-CN" w:eastAsia="zh-CN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除法律、法规、规章明确禁止或者涉及危害公共安全和人民群众生命健康等情形外，对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可给予合理的执法“观察期”，优先采取教育提醒、劝导示范、警示告诫、行政提示、行政指导、行政约谈等柔性执法方式。对诚信守法的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，适当降低抽查比例和频次，灵活采取自查自纠等承诺式检查方式。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（各地级以上市人民政府结合实际落实）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五、加强工作保障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17.加强组织领导。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发挥扶持个体工商户发展部门间联席会议作用，凝聚多方合力，强化责任担当，建立“个转企”转前、转中、转后服务机制，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协同做好全流程保障服务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不断深化政策供给、资源要素支持、信息互联共享等方面的协调联动。加强党建引领，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积极引导、鼓励和帮助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转型企业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向党组织靠拢，不断延伸党的工作在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民营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经济发展中的影响力。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发挥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各行业协会作用，加大“个转企”的重点培育、转型帮扶力度。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加强政策兑现。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"/>
        </w:rPr>
        <w:t>各地各部门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highlight w:val="none"/>
          <w:lang w:val="en-US" w:eastAsia="zh-CN" w:bidi="ar"/>
        </w:rPr>
        <w:t>可以结合实际</w:t>
      </w:r>
      <w:r>
        <w:rPr>
          <w:rFonts w:hint="eastAsia" w:ascii="仿宋_GB2312" w:hAnsi="仿宋_GB2312" w:cs="仿宋_GB2312"/>
          <w:szCs w:val="32"/>
          <w:highlight w:val="none"/>
          <w:lang w:bidi="ar"/>
        </w:rPr>
        <w:t>加大</w:t>
      </w:r>
      <w:r>
        <w:rPr>
          <w:rFonts w:hint="eastAsia" w:ascii="仿宋_GB2312" w:hAnsi="仿宋_GB2312" w:cs="仿宋_GB2312"/>
          <w:szCs w:val="32"/>
          <w:highlight w:val="none"/>
          <w:lang w:val="en-US" w:eastAsia="zh-CN" w:bidi="ar"/>
        </w:rPr>
        <w:t>对</w:t>
      </w:r>
      <w:r>
        <w:rPr>
          <w:rFonts w:hint="eastAsia" w:ascii="仿宋_GB2312" w:hAnsi="仿宋_GB2312" w:cs="仿宋_GB2312"/>
          <w:szCs w:val="32"/>
          <w:highlight w:val="none"/>
          <w:lang w:eastAsia="zh-CN" w:bidi="ar"/>
        </w:rPr>
        <w:t>“</w:t>
      </w:r>
      <w:r>
        <w:rPr>
          <w:rFonts w:hint="eastAsia" w:ascii="仿宋_GB2312" w:hAnsi="仿宋_GB2312" w:cs="仿宋_GB2312"/>
          <w:szCs w:val="32"/>
          <w:highlight w:val="none"/>
          <w:lang w:val="en-US" w:eastAsia="zh-CN" w:bidi="ar"/>
        </w:rPr>
        <w:t>个转企”奖补</w:t>
      </w:r>
      <w:r>
        <w:rPr>
          <w:rFonts w:hint="eastAsia" w:ascii="仿宋_GB2312" w:hAnsi="仿宋_GB2312" w:cs="仿宋_GB2312"/>
          <w:szCs w:val="32"/>
          <w:highlight w:val="none"/>
          <w:lang w:bidi="ar"/>
        </w:rPr>
        <w:t>，接受社会监督。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按照法律、行政法规和部门规章的相关规定，在税费、社保、用工、金融、产业、知识产权等方面，对个体工商户转型为企业提供更多支持政策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鼓励推行惠企政策“免申即享”，通过政府部门信息共享等方式，实现符合条件的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转型企业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免予申报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直接享受政策。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加强技术支撑。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个体工商户直接变更为企业的，统一社会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信用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代码保持不变。各地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部门要积极做好相关系统改造，对市场监管部门推送的“个转企”登记信息增加相应识别字段，确保有效识别、精准统计和兑现政策。原个体工商户的行政许可、处罚等数据信息要确保有效继承、直接关联。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"/>
        </w:rPr>
        <w:t>20.加强宣传引导。</w:t>
      </w:r>
      <w:r>
        <w:rPr>
          <w:rFonts w:hint="eastAsia" w:ascii="Times New Roman" w:hAnsi="Times New Roman" w:cs="Times New Roman"/>
          <w:szCs w:val="32"/>
        </w:rPr>
        <w:t>加强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eastAsia" w:ascii="Times New Roman" w:hAnsi="Times New Roman" w:cs="Times New Roman"/>
          <w:szCs w:val="32"/>
          <w:lang w:val="en-US" w:eastAsia="zh-CN"/>
        </w:rPr>
        <w:t>个转企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eastAsia" w:ascii="Times New Roman" w:hAnsi="Times New Roman" w:cs="Times New Roman"/>
          <w:szCs w:val="32"/>
        </w:rPr>
        <w:t>的政策</w:t>
      </w:r>
      <w:r>
        <w:rPr>
          <w:rFonts w:hint="eastAsia" w:ascii="Times New Roman" w:hAnsi="Times New Roman" w:cs="Times New Roman"/>
          <w:szCs w:val="32"/>
          <w:lang w:eastAsia="zh-CN"/>
        </w:rPr>
        <w:t>宣贯</w:t>
      </w:r>
      <w:r>
        <w:rPr>
          <w:rFonts w:hint="eastAsia" w:ascii="Times New Roman" w:hAnsi="Times New Roman" w:cs="Times New Roman"/>
          <w:szCs w:val="32"/>
        </w:rPr>
        <w:t>和解读引导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及时回应社会关切，帮助个体工商户充分认识“个转企”的意义，营造良好氛围，增强符合条件的个体工商户转型为企业的意愿和主动性。广泛发掘新典型、新经验、新模式，大力推动典型示范经验复制推广，助推全省“个转企”工作高质量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4C6B9E"/>
    <w:multiLevelType w:val="singleLevel"/>
    <w:tmpl w:val="ED4C6B9E"/>
    <w:lvl w:ilvl="0" w:tentative="0">
      <w:start w:val="3"/>
      <w:numFmt w:val="chineseCounting"/>
      <w:suff w:val="nothing"/>
      <w:lvlText w:val="%1、"/>
      <w:lvlJc w:val="left"/>
      <w:pPr>
        <w:ind w:left="2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E6559"/>
    <w:rsid w:val="78D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600" w:lineRule="exact"/>
      <w:outlineLvl w:val="2"/>
    </w:pPr>
    <w:rPr>
      <w:rFonts w:eastAsia="楷体_GB2312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widowControl/>
      <w:spacing w:line="560" w:lineRule="exact"/>
      <w:ind w:firstLine="420" w:firstLineChars="200"/>
    </w:pPr>
    <w:rPr>
      <w:rFonts w:ascii="Times New Roman" w:hAnsi="Times New Roman" w:eastAsia="仿宋" w:cs="Times New Roman"/>
      <w:spacing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2024-05-16T09:05:00Z</dcterms:created>
  <dc:creator>胡翌婧</dc:creator>
  <cp:lastModifiedBy>胡翌婧</cp:lastModifiedBy>
  <dcterms:modified xsi:type="dcterms:W3CDTF">2024-05-16T09:05:43Z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71EFA70D3ECA4879BD2027D6689F59CF</vt:lpwstr>
  </property>
</Properties>
</file>