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关于</w:t>
      </w:r>
      <w:r>
        <w:rPr>
          <w:rFonts w:hint="eastAsia" w:ascii="方正小标宋简体" w:hAnsi="方正小标宋简体" w:eastAsia="方正小标宋简体" w:cs="方正小标宋简体"/>
          <w:sz w:val="44"/>
          <w:szCs w:val="44"/>
          <w:lang w:eastAsia="zh-CN"/>
        </w:rPr>
        <w:t>《广东省推进个体工商户转型升级促进</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pacing w:val="-11"/>
          <w:sz w:val="44"/>
          <w:szCs w:val="44"/>
          <w:lang w:eastAsia="zh-CN"/>
        </w:rPr>
        <w:t>高质量发展若干措施（征求意见稿）》的起草说明</w:t>
      </w:r>
    </w:p>
    <w:p>
      <w:pPr>
        <w:rPr>
          <w:rFonts w:hint="eastAsia"/>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起草背景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s="Times New Roman"/>
          <w:sz w:val="32"/>
          <w:szCs w:val="32"/>
          <w:lang w:eastAsia="zh-CN"/>
        </w:rPr>
      </w:pPr>
      <w:r>
        <w:rPr>
          <w:rFonts w:hint="eastAsia" w:cs="Times New Roman"/>
          <w:sz w:val="32"/>
          <w:szCs w:val="32"/>
          <w:lang w:eastAsia="zh-CN"/>
        </w:rPr>
        <w:t>“个转企”是优化经营主体结构的有效途径，是促进民营经济发展方式转变和经济转型升级的内生动力。</w:t>
      </w:r>
      <w:r>
        <w:rPr>
          <w:rFonts w:hint="default" w:ascii="Times New Roman" w:hAnsi="Times New Roman" w:eastAsia="仿宋_GB2312" w:cs="Times New Roman"/>
          <w:sz w:val="32"/>
          <w:szCs w:val="32"/>
        </w:rPr>
        <w:t>《中共中央</w:t>
      </w:r>
      <w:r>
        <w:rPr>
          <w:rFonts w:hint="eastAsia"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rPr>
        <w:t xml:space="preserve"> 国务院关于促进民营经济发展壮大的意见》</w:t>
      </w:r>
      <w:r>
        <w:rPr>
          <w:rFonts w:hint="eastAsia" w:cs="Times New Roman"/>
          <w:sz w:val="32"/>
          <w:szCs w:val="32"/>
          <w:lang w:eastAsia="zh-CN"/>
        </w:rPr>
        <w:t>明确提出，要</w:t>
      </w:r>
      <w:r>
        <w:rPr>
          <w:rFonts w:hint="default" w:ascii="Times New Roman" w:hAnsi="Times New Roman" w:eastAsia="仿宋_GB2312" w:cs="Times New Roman"/>
          <w:sz w:val="32"/>
          <w:szCs w:val="32"/>
        </w:rPr>
        <w:t>“优化个体工商户转企业相关政策，降低转换成本”。市场监管总局等15部门印发《关于开展个体工商户分型分类精准帮扶提升发展质量的指导意见》</w:t>
      </w:r>
      <w:r>
        <w:rPr>
          <w:rFonts w:hint="eastAsia" w:cs="Times New Roman"/>
          <w:sz w:val="32"/>
          <w:szCs w:val="32"/>
          <w:lang w:eastAsia="zh-CN"/>
        </w:rPr>
        <w:t>，支持引导“发展型”个体工商户转型升级为企业。省委、省政府出台《关于新时代广东高质量发展的若干意见》，实施“个转企、小升规、规转股、股上市”经营主体培育计划，努力在高质量发展上走在前列、当好示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2017年12月，原省工商局等11部门印发《广东省推进个体工商户转型升级 促进经济结构优化的若干政策措施》，通过持续推进“个转企”，我省个体经济取得蓬勃发展，</w:t>
      </w:r>
      <w:r>
        <w:rPr>
          <w:rFonts w:hint="eastAsia" w:cs="Times New Roman"/>
          <w:sz w:val="32"/>
          <w:szCs w:val="32"/>
          <w:lang w:eastAsia="zh-CN"/>
        </w:rPr>
        <w:t>进一步</w:t>
      </w:r>
      <w:r>
        <w:rPr>
          <w:rFonts w:hint="default" w:ascii="Times New Roman" w:hAnsi="Times New Roman" w:eastAsia="仿宋_GB2312" w:cs="Times New Roman"/>
          <w:sz w:val="32"/>
          <w:szCs w:val="32"/>
        </w:rPr>
        <w:t>优化主体类型结构，2018年至202</w:t>
      </w:r>
      <w:r>
        <w:rPr>
          <w:rFonts w:hint="eastAsia" w:cs="Times New Roman"/>
          <w:sz w:val="32"/>
          <w:szCs w:val="32"/>
          <w:lang w:val="en-US" w:eastAsia="zh-CN"/>
        </w:rPr>
        <w:t>3</w:t>
      </w:r>
      <w:r>
        <w:rPr>
          <w:rFonts w:hint="default" w:ascii="Times New Roman" w:hAnsi="Times New Roman" w:eastAsia="仿宋_GB2312" w:cs="Times New Roman"/>
          <w:sz w:val="32"/>
          <w:szCs w:val="32"/>
        </w:rPr>
        <w:t>年</w:t>
      </w:r>
      <w:r>
        <w:rPr>
          <w:rFonts w:hint="eastAsia" w:cs="Times New Roman"/>
          <w:sz w:val="32"/>
          <w:szCs w:val="32"/>
          <w:lang w:eastAsia="zh-CN"/>
        </w:rPr>
        <w:t>底</w:t>
      </w:r>
      <w:r>
        <w:rPr>
          <w:rFonts w:hint="default" w:ascii="Times New Roman" w:hAnsi="Times New Roman" w:eastAsia="仿宋_GB2312" w:cs="Times New Roman"/>
          <w:sz w:val="32"/>
          <w:szCs w:val="32"/>
        </w:rPr>
        <w:t>，全省已有9.</w:t>
      </w:r>
      <w:r>
        <w:rPr>
          <w:rFonts w:hint="eastAsia" w:cs="Times New Roman"/>
          <w:sz w:val="32"/>
          <w:szCs w:val="32"/>
          <w:lang w:val="en-US" w:eastAsia="zh-CN"/>
        </w:rPr>
        <w:t>5</w:t>
      </w:r>
      <w:r>
        <w:rPr>
          <w:rFonts w:hint="default" w:ascii="Times New Roman" w:hAnsi="Times New Roman" w:eastAsia="仿宋_GB2312" w:cs="Times New Roman"/>
          <w:sz w:val="32"/>
          <w:szCs w:val="32"/>
        </w:rPr>
        <w:t>万</w:t>
      </w:r>
      <w:r>
        <w:rPr>
          <w:rFonts w:hint="eastAsia" w:cs="Times New Roman"/>
          <w:sz w:val="32"/>
          <w:szCs w:val="32"/>
          <w:lang w:eastAsia="zh-CN"/>
        </w:rPr>
        <w:t>多</w:t>
      </w:r>
      <w:r>
        <w:rPr>
          <w:rFonts w:hint="default" w:ascii="Times New Roman" w:hAnsi="Times New Roman" w:eastAsia="仿宋_GB2312" w:cs="Times New Roman"/>
          <w:sz w:val="32"/>
          <w:szCs w:val="32"/>
        </w:rPr>
        <w:t>户个体工商户转型升级为企业。</w:t>
      </w:r>
      <w:r>
        <w:rPr>
          <w:rFonts w:hint="eastAsia" w:cs="Times New Roman"/>
          <w:sz w:val="32"/>
          <w:szCs w:val="32"/>
          <w:lang w:eastAsia="zh-CN"/>
        </w:rPr>
        <w:t>但是，</w:t>
      </w:r>
      <w:r>
        <w:rPr>
          <w:rFonts w:hint="default" w:ascii="Times New Roman" w:hAnsi="Times New Roman" w:eastAsia="仿宋_GB2312" w:cs="Times New Roman"/>
          <w:sz w:val="32"/>
          <w:szCs w:val="32"/>
        </w:rPr>
        <w:t>随着“个转企”工作的不断深入，个体工商户对转型升级过程中更为便捷的登记注册“直接变更”办理、行政许可证照的延续、更大力度的财税优惠政策、转型企业高质量发展等提出了新的需求，需要政府部门在“个转企”制度层面有新的突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Times New Roman"/>
          <w:color w:val="auto"/>
          <w:sz w:val="32"/>
          <w:szCs w:val="32"/>
          <w:lang w:val="en-US" w:eastAsia="zh-CN"/>
        </w:rPr>
      </w:pPr>
      <w:r>
        <w:rPr>
          <w:rFonts w:hint="eastAsia" w:ascii="仿宋_GB2312" w:hAnsi="仿宋_GB2312" w:cs="仿宋_GB2312"/>
          <w:sz w:val="32"/>
          <w:szCs w:val="32"/>
          <w:lang w:val="en-US" w:eastAsia="zh-CN"/>
        </w:rPr>
        <w:t>省市场监管局深入贯彻党中央、国务院决策部署，全面落实省委、省政府工作安排，聚焦“个转企”存在的突出问题，积极主动作为，加强调查研究，总结试点经验，发挥部门协同作用，牵头起草了</w:t>
      </w:r>
      <w:r>
        <w:rPr>
          <w:rFonts w:hint="eastAsia" w:ascii="Times New Roman" w:hAnsi="Times New Roman" w:eastAsia="仿宋_GB2312" w:cs="Times New Roman"/>
          <w:sz w:val="32"/>
          <w:szCs w:val="32"/>
          <w:lang w:eastAsia="zh-CN"/>
        </w:rPr>
        <w:t>《广东省推进个体工商户转型升级促进高质量发展若干措施（</w:t>
      </w:r>
      <w:r>
        <w:rPr>
          <w:rFonts w:hint="eastAsia" w:ascii="Times New Roman" w:hAnsi="Times New Roman" w:cs="Times New Roman"/>
          <w:sz w:val="32"/>
          <w:szCs w:val="32"/>
          <w:lang w:val="en-US" w:eastAsia="zh-CN"/>
        </w:rPr>
        <w:t>征求意见稿</w:t>
      </w:r>
      <w:r>
        <w:rPr>
          <w:rFonts w:hint="eastAsia" w:ascii="Times New Roman" w:hAnsi="Times New Roman" w:eastAsia="仿宋_GB2312" w:cs="Times New Roman"/>
          <w:sz w:val="32"/>
          <w:szCs w:val="32"/>
          <w:lang w:eastAsia="zh-CN"/>
        </w:rPr>
        <w:t>）》（以下简称《</w:t>
      </w:r>
      <w:r>
        <w:rPr>
          <w:rFonts w:hint="eastAsia" w:cs="Times New Roman"/>
          <w:sz w:val="32"/>
          <w:szCs w:val="32"/>
          <w:lang w:eastAsia="zh-CN"/>
        </w:rPr>
        <w:t>若干措施</w:t>
      </w:r>
      <w:r>
        <w:rPr>
          <w:rFonts w:hint="eastAsia" w:ascii="Times New Roman" w:hAnsi="Times New Roman" w:eastAsia="仿宋_GB2312" w:cs="Times New Roman"/>
          <w:sz w:val="32"/>
          <w:szCs w:val="32"/>
          <w:lang w:eastAsia="zh-CN"/>
        </w:rPr>
        <w:t>》）</w:t>
      </w:r>
      <w:r>
        <w:rPr>
          <w:rFonts w:hint="eastAsia"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黑体" w:cs="Times New Roman"/>
          <w:sz w:val="32"/>
          <w:szCs w:val="32"/>
          <w:lang w:val="en-US" w:eastAsia="zh-CN"/>
        </w:rPr>
      </w:pPr>
      <w:r>
        <w:rPr>
          <w:rFonts w:hint="eastAsia" w:eastAsia="黑体" w:cs="Times New Roman"/>
          <w:sz w:val="32"/>
          <w:szCs w:val="32"/>
          <w:lang w:val="en-US" w:eastAsia="zh-CN"/>
        </w:rPr>
        <w:t>二、主要内容</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leftChars="0" w:right="0" w:firstLine="640" w:firstLineChars="200"/>
        <w:jc w:val="both"/>
        <w:textAlignment w:val="auto"/>
        <w:rPr>
          <w:rFonts w:hint="eastAsia" w:cs="Times New Roman"/>
          <w:sz w:val="32"/>
          <w:lang w:val="en-US" w:eastAsia="zh-CN"/>
        </w:rPr>
      </w:pPr>
      <w:r>
        <w:rPr>
          <w:rFonts w:hint="eastAsia" w:cs="Times New Roman"/>
          <w:sz w:val="32"/>
          <w:lang w:eastAsia="zh-CN"/>
        </w:rPr>
        <w:t>《若干措施》从</w:t>
      </w:r>
      <w:r>
        <w:rPr>
          <w:rFonts w:hint="eastAsia" w:cs="Times New Roman"/>
          <w:sz w:val="32"/>
          <w:lang w:val="en-US" w:eastAsia="zh-CN"/>
        </w:rPr>
        <w:t>5</w:t>
      </w:r>
      <w:r>
        <w:rPr>
          <w:rFonts w:hint="eastAsia" w:cs="Times New Roman"/>
          <w:sz w:val="32"/>
          <w:lang w:eastAsia="zh-CN"/>
        </w:rPr>
        <w:t>个方面，</w:t>
      </w:r>
      <w:r>
        <w:rPr>
          <w:rFonts w:hint="eastAsia" w:cs="Times New Roman"/>
          <w:sz w:val="32"/>
          <w:lang w:val="en-US" w:eastAsia="zh-CN"/>
        </w:rPr>
        <w:t>提出了20条措施。</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leftChars="0" w:right="0" w:firstLine="640" w:firstLineChars="200"/>
        <w:jc w:val="both"/>
        <w:textAlignment w:val="auto"/>
        <w:rPr>
          <w:rFonts w:hint="default" w:cs="Times New Roman"/>
          <w:sz w:val="32"/>
          <w:szCs w:val="32"/>
          <w:lang w:val="en-US" w:eastAsia="zh-CN"/>
        </w:rPr>
      </w:pPr>
      <w:r>
        <w:rPr>
          <w:rFonts w:hint="eastAsia" w:ascii="Times New Roman" w:hAnsi="Times New Roman" w:eastAsia="楷体_GB2312" w:cs="Times New Roman"/>
          <w:color w:val="auto"/>
          <w:spacing w:val="0"/>
          <w:kern w:val="2"/>
          <w:sz w:val="32"/>
          <w:szCs w:val="32"/>
          <w:shd w:val="clear" w:color="auto" w:fill="FFFFFF"/>
          <w:lang w:val="en-US" w:eastAsia="zh-CN" w:bidi="ar-SA"/>
        </w:rPr>
        <w:t>（一）优化转型登记服务（第1条至第4条）。</w:t>
      </w:r>
      <w:r>
        <w:rPr>
          <w:rFonts w:hint="eastAsia" w:eastAsia="楷体_GB2312" w:cs="Times New Roman"/>
          <w:color w:val="auto"/>
          <w:spacing w:val="0"/>
          <w:kern w:val="2"/>
          <w:sz w:val="32"/>
          <w:szCs w:val="32"/>
          <w:shd w:val="clear" w:color="auto" w:fill="FFFFFF"/>
          <w:lang w:val="en-US" w:eastAsia="zh-CN" w:bidi="ar-SA"/>
        </w:rPr>
        <w:t>坚持自愿转型和重点培育原则，</w:t>
      </w:r>
      <w:r>
        <w:rPr>
          <w:rFonts w:hint="eastAsia" w:cs="Times New Roman"/>
          <w:sz w:val="32"/>
          <w:szCs w:val="32"/>
          <w:lang w:val="en-US" w:eastAsia="zh-CN"/>
        </w:rPr>
        <w:t>明确个体工商户转型为企业的条件和范围，从自主选择转型组织形式，建立“个转企”动态培育库，推行“个转企”直接变更登记，实施“个转企”高效办成一件事等方面，为“个转企”提供高效登记服务。</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leftChars="0" w:right="0" w:firstLine="640" w:firstLineChars="200"/>
        <w:jc w:val="both"/>
        <w:textAlignment w:val="auto"/>
        <w:rPr>
          <w:rFonts w:hint="default" w:cs="Times New Roman"/>
          <w:sz w:val="32"/>
          <w:szCs w:val="32"/>
          <w:lang w:val="en-US" w:eastAsia="zh-CN"/>
        </w:rPr>
      </w:pPr>
      <w:r>
        <w:rPr>
          <w:rFonts w:hint="eastAsia" w:ascii="Times New Roman" w:hAnsi="Times New Roman" w:eastAsia="楷体_GB2312" w:cs="Times New Roman"/>
          <w:color w:val="auto"/>
          <w:spacing w:val="0"/>
          <w:kern w:val="2"/>
          <w:sz w:val="32"/>
          <w:szCs w:val="32"/>
          <w:shd w:val="clear" w:color="auto" w:fill="FFFFFF"/>
          <w:lang w:val="en-US" w:eastAsia="zh-CN" w:bidi="ar-SA"/>
        </w:rPr>
        <w:t>（二）加强转型手续衔接（第5条至第8条）。</w:t>
      </w:r>
      <w:r>
        <w:rPr>
          <w:rFonts w:hint="eastAsia" w:cs="Times New Roman"/>
          <w:sz w:val="32"/>
          <w:szCs w:val="32"/>
          <w:lang w:val="en-US" w:eastAsia="zh-CN"/>
        </w:rPr>
        <w:t>聚焦“个转企”后相关行政许可，提出了简化行政许可手续的具体措施，明确了变更食品、餐饮、卫生、消防、烟草等高频事项按照直接变更登记、实行告知承诺、优化审批服务等方式办理，从便利不动产登记、延续保留商标品牌、加强档案衔接和信息保留等方面作出具体规定，让“个转企”转型无忧。</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leftChars="0" w:right="0" w:firstLine="640" w:firstLineChars="200"/>
        <w:jc w:val="both"/>
        <w:textAlignment w:val="auto"/>
        <w:rPr>
          <w:rFonts w:hint="default" w:cs="Times New Roman"/>
          <w:sz w:val="32"/>
          <w:lang w:val="en-US" w:eastAsia="zh-CN"/>
        </w:rPr>
      </w:pPr>
      <w:r>
        <w:rPr>
          <w:rFonts w:hint="eastAsia" w:ascii="Times New Roman" w:hAnsi="Times New Roman" w:eastAsia="楷体_GB2312" w:cs="Times New Roman"/>
          <w:color w:val="auto"/>
          <w:spacing w:val="0"/>
          <w:kern w:val="2"/>
          <w:sz w:val="32"/>
          <w:szCs w:val="32"/>
          <w:shd w:val="clear" w:color="auto" w:fill="FFFFFF"/>
          <w:lang w:val="en-US" w:eastAsia="zh-CN" w:bidi="ar-SA"/>
        </w:rPr>
        <w:t>（三）加强财税金融支持（第9条至第12条）。</w:t>
      </w:r>
      <w:r>
        <w:rPr>
          <w:rFonts w:hint="eastAsia" w:cs="Times New Roman"/>
          <w:sz w:val="32"/>
          <w:szCs w:val="32"/>
          <w:lang w:val="en-US" w:eastAsia="zh-CN"/>
        </w:rPr>
        <w:t>注重系统集成，从实施财政支持、落实减税降费政策、提供转型信贷支持、加强就业创业扶持等四个方面，降低“个转企”制度性成本，对完成转型后的企业，符合条件的优惠政策应享尽享。</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leftChars="0" w:right="0" w:firstLine="640" w:firstLineChars="200"/>
        <w:jc w:val="both"/>
        <w:textAlignment w:val="auto"/>
        <w:rPr>
          <w:rFonts w:hint="eastAsia" w:ascii="Times New Roman" w:hAnsi="Times New Roman" w:eastAsia="楷体_GB2312" w:cs="Times New Roman"/>
          <w:color w:val="auto"/>
          <w:spacing w:val="0"/>
          <w:kern w:val="2"/>
          <w:sz w:val="32"/>
          <w:szCs w:val="32"/>
          <w:shd w:val="clear" w:color="auto" w:fill="FFFFFF"/>
          <w:lang w:val="en-US" w:eastAsia="zh-CN" w:bidi="ar-SA"/>
        </w:rPr>
      </w:pPr>
      <w:r>
        <w:rPr>
          <w:rFonts w:hint="eastAsia" w:ascii="Times New Roman" w:hAnsi="Times New Roman" w:eastAsia="楷体_GB2312" w:cs="Times New Roman"/>
          <w:color w:val="auto"/>
          <w:spacing w:val="0"/>
          <w:kern w:val="2"/>
          <w:sz w:val="32"/>
          <w:szCs w:val="32"/>
          <w:shd w:val="clear" w:color="auto" w:fill="FFFFFF"/>
          <w:lang w:val="en-US" w:eastAsia="zh-CN" w:bidi="ar-SA"/>
        </w:rPr>
        <w:t>（四）激发转型发展动能（第13条至第16条）。</w:t>
      </w:r>
      <w:r>
        <w:rPr>
          <w:rFonts w:hint="eastAsia" w:cs="Times New Roman"/>
          <w:sz w:val="32"/>
          <w:szCs w:val="32"/>
          <w:lang w:val="en-US" w:eastAsia="zh-CN"/>
        </w:rPr>
        <w:t>充分发挥市场监管部门在知识产权、质量监管、标准计量、认证认可等职能作用，从提高知识产权应用能力，提升转型企业质量等依法为转型企业高质量发展提供精准服务。支持发展线上经营模式，优化线上运营规则。探索对“个转企”实施执法“观察期”制度，推进包容审慎监管。</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leftChars="0" w:right="0" w:firstLine="640" w:firstLineChars="200"/>
        <w:jc w:val="both"/>
        <w:textAlignment w:val="auto"/>
        <w:rPr>
          <w:rFonts w:hint="eastAsia" w:cs="Times New Roman"/>
          <w:sz w:val="32"/>
          <w:szCs w:val="32"/>
          <w:lang w:val="en-US" w:eastAsia="zh-CN"/>
        </w:rPr>
      </w:pPr>
      <w:r>
        <w:rPr>
          <w:rFonts w:hint="eastAsia" w:ascii="Times New Roman" w:hAnsi="Times New Roman" w:eastAsia="楷体_GB2312" w:cs="Times New Roman"/>
          <w:color w:val="auto"/>
          <w:spacing w:val="0"/>
          <w:kern w:val="2"/>
          <w:sz w:val="32"/>
          <w:szCs w:val="32"/>
          <w:shd w:val="clear" w:color="auto" w:fill="FFFFFF"/>
          <w:lang w:val="en-US" w:eastAsia="zh-CN" w:bidi="ar-SA"/>
        </w:rPr>
        <w:t>（五）加强工作保障（第17条至第20条）。</w:t>
      </w:r>
      <w:r>
        <w:rPr>
          <w:rFonts w:hint="eastAsia" w:cs="Times New Roman"/>
          <w:sz w:val="32"/>
          <w:szCs w:val="32"/>
          <w:lang w:val="en-US" w:eastAsia="zh-CN"/>
        </w:rPr>
        <w:t>包括加强组织领导、政策兑现、技术支撑、宣传引导等四个方面，加强“个转企”转前、转中、转后全链条服务。</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eastAsia" w:ascii="黑体" w:hAnsi="黑体" w:eastAsia="黑体" w:cs="黑体"/>
          <w:color w:val="000000"/>
          <w:sz w:val="32"/>
          <w:lang w:val="en-US" w:eastAsia="zh-CN"/>
        </w:rPr>
      </w:pPr>
      <w:r>
        <w:rPr>
          <w:rFonts w:hint="eastAsia" w:ascii="黑体" w:hAnsi="黑体" w:eastAsia="黑体" w:cs="黑体"/>
          <w:color w:val="000000"/>
          <w:sz w:val="32"/>
          <w:lang w:val="en-US" w:eastAsia="zh-CN"/>
        </w:rPr>
        <w:t>三、需要说明的内容</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仿宋_GB2312" w:hAnsi="仿宋_GB2312" w:cs="仿宋_GB2312"/>
          <w:b w:val="0"/>
          <w:bCs w:val="0"/>
          <w:kern w:val="2"/>
          <w:sz w:val="32"/>
          <w:szCs w:val="32"/>
          <w:lang w:val="en-US" w:eastAsia="zh-CN" w:bidi="ar-SA"/>
        </w:r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lang w:val="en-US" w:eastAsia="zh-CN"/>
        </w:rPr>
        <w:t>一</w:t>
      </w: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kern w:val="2"/>
          <w:sz w:val="32"/>
          <w:szCs w:val="32"/>
          <w:lang w:val="en-US" w:eastAsia="zh-CN" w:bidi="ar-SA"/>
        </w:rPr>
        <w:t>关于“个转企”登记范围。</w:t>
      </w:r>
      <w:r>
        <w:rPr>
          <w:rFonts w:hint="eastAsia" w:ascii="仿宋_GB2312" w:hAnsi="仿宋_GB2312" w:cs="仿宋_GB2312"/>
          <w:b w:val="0"/>
          <w:bCs w:val="0"/>
          <w:kern w:val="2"/>
          <w:sz w:val="32"/>
          <w:szCs w:val="32"/>
          <w:lang w:val="en-US" w:eastAsia="zh-CN" w:bidi="ar-SA"/>
        </w:rPr>
        <w:t>明确“个转企”的转型路径和转型后的企业组织形式，个体工商户可以自愿转型为企业，自由选择转型为有限责任公司、股份有限公司、个人独资企业、合伙企业等组织形式，执行全国统一的登记管理政策文件和规范要求。鼓励各地建立动态培育库，对不同发展阶段和发展水平的个体工商户采取差异化帮扶措施，鼓励和引导具有一定规模的的个体工商户转型升级为企业。</w:t>
      </w:r>
    </w:p>
    <w:p>
      <w:pPr>
        <w:pStyle w:val="5"/>
        <w:ind w:left="0" w:leftChars="0" w:firstLine="640" w:firstLineChars="200"/>
        <w:rPr>
          <w:rFonts w:hint="default" w:ascii="Times New Roman" w:hAnsi="Times New Roman" w:eastAsia="仿宋_GB2312" w:cs="Times New Roman"/>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（二）关于“个转企”直接变更登记。</w:t>
      </w:r>
      <w:r>
        <w:rPr>
          <w:rFonts w:hint="default" w:ascii="Times New Roman" w:hAnsi="Times New Roman" w:eastAsia="仿宋_GB2312" w:cs="Times New Roman"/>
          <w:b w:val="0"/>
          <w:bCs w:val="0"/>
          <w:kern w:val="2"/>
          <w:sz w:val="32"/>
          <w:szCs w:val="32"/>
          <w:lang w:val="en-US" w:eastAsia="zh-CN" w:bidi="ar-SA"/>
        </w:rPr>
        <w:t>目前个体工商户转型为企业需要注销原个体工商户，再申请设立企业，“个转企”程序繁琐，且统一社会信用代码发生变化，对转型后品牌荣誉、许可证件、银行账号等延续影响大。在政策方面，《中华人民共和国市场主体登记管理条例实施细则》第三十七条规定，个体工商户申请转变为企业组织形式，应当按照拟变更的企业类型设立条件申请登记；《促进个体工商户发展条例》第十三条规定，个体工商户可以自愿转型为企业，行政许可部门应当简化手续，依法为个体工商户提供便利，并要求转型前结清依法应缴纳的税款等，对原有债权债务作出妥善处理。在实践方面，2023年市场监管总局在全国7个省（区）开展“个转企”工作试点，各地积极探索通过直接变更登记形式实现转型，尽可能保留个体工商户统一社会信用代码、字号、年报信息和相关行政许可，并在总结试点经验基础上，推动全国范围复制推广。</w:t>
      </w:r>
      <w:r>
        <w:rPr>
          <w:rFonts w:hint="eastAsia" w:eastAsia="仿宋_GB2312" w:cs="Times New Roman"/>
          <w:b w:val="0"/>
          <w:bCs w:val="0"/>
          <w:kern w:val="2"/>
          <w:sz w:val="32"/>
          <w:szCs w:val="32"/>
          <w:lang w:val="en-US" w:eastAsia="zh-CN" w:bidi="ar-SA"/>
        </w:rPr>
        <w:t>推行</w:t>
      </w:r>
      <w:r>
        <w:rPr>
          <w:rFonts w:hint="default" w:ascii="Times New Roman" w:hAnsi="Times New Roman" w:eastAsia="仿宋_GB2312" w:cs="Times New Roman"/>
          <w:b w:val="0"/>
          <w:bCs w:val="0"/>
          <w:kern w:val="2"/>
          <w:sz w:val="32"/>
          <w:szCs w:val="32"/>
          <w:lang w:val="en-US" w:eastAsia="zh-CN" w:bidi="ar-SA"/>
        </w:rPr>
        <w:t>“个转企”直接变更登记，简化“个转企”登记手续，调整原有的“先注销、后设立”模式，有利于提高“个转企”便利化水平。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Times New Roman"/>
          <w:b w:val="0"/>
          <w:bCs w:val="0"/>
          <w:kern w:val="2"/>
          <w:sz w:val="32"/>
          <w:szCs w:val="32"/>
          <w:lang w:val="en-US" w:eastAsia="zh-CN" w:bidi="ar-SA"/>
        </w:rPr>
      </w:pPr>
      <w:r>
        <w:rPr>
          <w:rFonts w:hint="eastAsia" w:ascii="楷体_GB2312" w:hAnsi="楷体_GB2312" w:eastAsia="楷体_GB2312" w:cs="楷体_GB2312"/>
          <w:sz w:val="32"/>
          <w:szCs w:val="32"/>
          <w:lang w:val="en-US" w:eastAsia="zh-CN"/>
        </w:rPr>
        <w:t>（三）简化行政许可手续。</w:t>
      </w:r>
      <w:r>
        <w:rPr>
          <w:rFonts w:hint="eastAsia" w:ascii="Times New Roman" w:hAnsi="Times New Roman" w:eastAsia="仿宋_GB2312" w:cs="Times New Roman"/>
          <w:b w:val="0"/>
          <w:bCs w:val="0"/>
          <w:kern w:val="2"/>
          <w:sz w:val="32"/>
          <w:szCs w:val="32"/>
          <w:lang w:val="en-US" w:eastAsia="zh-CN" w:bidi="ar-SA"/>
        </w:rPr>
        <w:t>《促进个体工商户发展条例》第十三条规定，个体工商户可以自愿变更经营者或者转型为企业，涉及有关行政许可的，行政许可部门应当简化手续，依法为个体工商户提供便利。结合个体工商户主要集中在批发零售、餐饮住宿、居民服务业的特点，对“个转企”办理食品、餐饮、卫生、消防、烟草等高频涉企审批事项，按照《促进个体工商户发展条例》以及相关法律法规，为“个转企”办理有关行政</w:t>
      </w:r>
      <w:r>
        <w:rPr>
          <w:rFonts w:hint="eastAsia" w:cs="Times New Roman"/>
          <w:b w:val="0"/>
          <w:bCs w:val="0"/>
          <w:kern w:val="2"/>
          <w:sz w:val="32"/>
          <w:szCs w:val="32"/>
          <w:lang w:val="en-US" w:eastAsia="zh-CN" w:bidi="ar-SA"/>
        </w:rPr>
        <w:t>许可</w:t>
      </w:r>
      <w:r>
        <w:rPr>
          <w:rFonts w:hint="eastAsia" w:ascii="Times New Roman" w:hAnsi="Times New Roman" w:eastAsia="仿宋_GB2312" w:cs="Times New Roman"/>
          <w:b w:val="0"/>
          <w:bCs w:val="0"/>
          <w:kern w:val="2"/>
          <w:sz w:val="32"/>
          <w:szCs w:val="32"/>
          <w:lang w:val="en-US" w:eastAsia="zh-CN" w:bidi="ar-SA"/>
        </w:rPr>
        <w:t>提供便利，为解决目前“个转企”后办理许可证延续手续复杂问题。</w:t>
      </w:r>
      <w:r>
        <w:rPr>
          <w:rFonts w:hint="eastAsia" w:cs="Times New Roman"/>
          <w:b w:val="0"/>
          <w:bCs w:val="0"/>
          <w:kern w:val="2"/>
          <w:sz w:val="32"/>
          <w:szCs w:val="32"/>
          <w:lang w:val="en-US" w:eastAsia="zh-CN" w:bidi="ar-SA"/>
        </w:rPr>
        <w:t>按照</w:t>
      </w:r>
      <w:r>
        <w:rPr>
          <w:rFonts w:hint="eastAsia" w:ascii="Times New Roman" w:hAnsi="Times New Roman" w:eastAsia="仿宋_GB2312" w:cs="Times New Roman"/>
          <w:b w:val="0"/>
          <w:bCs w:val="0"/>
          <w:kern w:val="2"/>
          <w:sz w:val="32"/>
          <w:szCs w:val="32"/>
          <w:lang w:val="en-US" w:eastAsia="zh-CN" w:bidi="ar-SA"/>
        </w:rPr>
        <w:t>《中华人民共和国消防法》</w:t>
      </w:r>
      <w:r>
        <w:rPr>
          <w:rFonts w:hint="eastAsia"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《国务院办公厅关于全面推行证明事项和涉企经营许可事项告知承诺制的指导意见》（国办发〔2020〕42号）</w:t>
      </w:r>
      <w:r>
        <w:rPr>
          <w:rFonts w:hint="eastAsia"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《国家烟草专卖局关于印发完善烟草专卖零售许可管理优化政务服务工作指引的通知》（国烟法（2024）55号）</w:t>
      </w:r>
      <w:r>
        <w:rPr>
          <w:rFonts w:hint="eastAsia" w:cs="Times New Roman"/>
          <w:b w:val="0"/>
          <w:bCs w:val="0"/>
          <w:kern w:val="2"/>
          <w:sz w:val="32"/>
          <w:szCs w:val="32"/>
          <w:lang w:val="en-US" w:eastAsia="zh-CN" w:bidi="ar-SA"/>
        </w:rPr>
        <w:t>等要求，要求各审批部门对涉及的审批事项和过户手续依法简化变更程序；涉及现场核查的，若经营条件未发生变化、经营项目减项或者未发生变化的，优先适用告知承诺办理。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Times New Roman"/>
          <w:b w:val="0"/>
          <w:bCs w:val="0"/>
          <w:kern w:val="2"/>
          <w:sz w:val="32"/>
          <w:szCs w:val="32"/>
          <w:lang w:val="en-US" w:eastAsia="zh-CN" w:bidi="ar-SA"/>
        </w:rPr>
      </w:pPr>
      <w:r>
        <w:rPr>
          <w:rFonts w:hint="eastAsia" w:ascii="楷体_GB2312" w:hAnsi="楷体_GB2312" w:eastAsia="楷体_GB2312" w:cs="楷体_GB2312"/>
          <w:sz w:val="32"/>
          <w:szCs w:val="32"/>
          <w:lang w:val="en-US" w:eastAsia="zh-CN"/>
        </w:rPr>
        <w:t>（四）关于发展线上经营模式。</w:t>
      </w:r>
      <w:r>
        <w:rPr>
          <w:rFonts w:hint="eastAsia" w:cs="Times New Roman"/>
          <w:b w:val="0"/>
          <w:bCs w:val="0"/>
          <w:kern w:val="2"/>
          <w:sz w:val="32"/>
          <w:szCs w:val="32"/>
          <w:lang w:val="en-US" w:eastAsia="zh-CN" w:bidi="ar-SA"/>
        </w:rPr>
        <w:t>适应平台经济发展规律，建立健全规则制度，优化平台经济发展环境。特别针对主流电商平台尚未针对“个转企”店铺设定便利化升级流程，需要店铺经营主体以店铺过户程序实现店铺经营主体信息变更情形，从降低平台经济参与者经营成本出发，鼓励平台企业开展模式创新，推动平台企业优化相关管理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Times New Roman"/>
          <w:b w:val="0"/>
          <w:bCs w:val="0"/>
          <w:kern w:val="2"/>
          <w:sz w:val="32"/>
          <w:szCs w:val="32"/>
          <w:lang w:val="en-US" w:eastAsia="zh-CN" w:bidi="ar-SA"/>
        </w:rPr>
      </w:pPr>
      <w:r>
        <w:rPr>
          <w:rFonts w:hint="eastAsia" w:ascii="楷体_GB2312" w:hAnsi="楷体_GB2312" w:eastAsia="楷体_GB2312" w:cs="楷体_GB2312"/>
          <w:sz w:val="32"/>
          <w:szCs w:val="32"/>
          <w:lang w:val="en-US" w:eastAsia="zh-CN"/>
        </w:rPr>
        <w:t>（五）关于探索实施执法“观察期”制度。</w:t>
      </w:r>
      <w:r>
        <w:rPr>
          <w:rFonts w:hint="eastAsia" w:cs="Times New Roman"/>
          <w:b w:val="0"/>
          <w:bCs w:val="0"/>
          <w:kern w:val="2"/>
          <w:sz w:val="32"/>
          <w:szCs w:val="32"/>
          <w:lang w:val="en-US" w:eastAsia="zh-CN" w:bidi="ar-SA"/>
        </w:rPr>
        <w:t>按照《广东省人民政府办公厅关于推进包容审慎监管的指导意见》，探索对“个转企”实施执法“观察期”制度，推进包容审慎监管，优先采取教育提醒、劝导示范、警示告诫、行政提示、行政指导、行政约谈等柔性执法方式，为新兴企业和中小企业创造更包容、更宽松的法治化营商环境，推动“个转企”高质量发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E72910"/>
    <w:multiLevelType w:val="singleLevel"/>
    <w:tmpl w:val="B0E7291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A61D3A"/>
    <w:rsid w:val="1EA61D3A"/>
    <w:rsid w:val="2F0A1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qFormat/>
    <w:uiPriority w:val="0"/>
    <w:pPr>
      <w:keepNext/>
      <w:keepLines/>
      <w:spacing w:line="600" w:lineRule="exact"/>
      <w:outlineLvl w:val="2"/>
    </w:pPr>
    <w:rPr>
      <w:rFonts w:eastAsia="楷体_GB2312"/>
      <w:b/>
      <w:sz w:val="3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spacing w:line="240" w:lineRule="atLeast"/>
      <w:jc w:val="center"/>
    </w:pPr>
    <w:rPr>
      <w:sz w:val="18"/>
    </w:rPr>
  </w:style>
  <w:style w:type="paragraph" w:styleId="5">
    <w:name w:val="toc 2"/>
    <w:basedOn w:val="1"/>
    <w:next w:val="1"/>
    <w:qFormat/>
    <w:uiPriority w:val="0"/>
    <w:pPr>
      <w:widowControl w:val="0"/>
      <w:ind w:left="420" w:leftChars="200"/>
      <w:jc w:val="both"/>
    </w:pPr>
    <w:rPr>
      <w:rFonts w:ascii="Times New Roman" w:hAnsi="Times New Roman" w:eastAsia="宋体" w:cs="Times New Roman"/>
      <w:kern w:val="2"/>
      <w:sz w:val="30"/>
      <w:szCs w:val="24"/>
      <w:lang w:val="en-US" w:eastAsia="zh-CN" w:bidi="ar-SA"/>
    </w:rPr>
  </w:style>
  <w:style w:type="character" w:styleId="8">
    <w:name w:val="page number"/>
    <w:basedOn w:val="7"/>
    <w:qFormat/>
    <w:uiPriority w:val="0"/>
  </w:style>
  <w:style w:type="paragraph" w:customStyle="1" w:styleId="9">
    <w:name w:val="Plain Text"/>
    <w:qFormat/>
    <w:uiPriority w:val="0"/>
    <w:pPr>
      <w:widowControl w:val="0"/>
      <w:jc w:val="both"/>
    </w:pPr>
    <w:rPr>
      <w:rFonts w:ascii="宋体" w:hAnsi="Courier New"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2024-05-16T09:05:00Z</dcterms:created>
  <dc:creator>胡翌婧</dc:creator>
  <cp:lastModifiedBy>胡翌婧</cp:lastModifiedBy>
  <dcterms:modified xsi:type="dcterms:W3CDTF">2024-05-16T09:07:16Z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85836905717341618EDDAA315790DD76</vt:lpwstr>
  </property>
</Properties>
</file>