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pStyle w:val="4"/>
        <w:rPr>
          <w:rFonts w:hint="eastAsia"/>
          <w:lang w:val="en-US" w:eastAsia="zh-CN"/>
        </w:rPr>
      </w:pPr>
    </w:p>
    <w:p>
      <w:pPr>
        <w:pStyle w:val="4"/>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《广东省实施标准化战略专项资金管理细则</w:t>
      </w:r>
    </w:p>
    <w:p>
      <w:pPr>
        <w:pStyle w:val="4"/>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（修订稿)》修订说明</w:t>
      </w:r>
    </w:p>
    <w:p>
      <w:pPr>
        <w:numPr>
          <w:ilvl w:val="-1"/>
          <w:numId w:val="0"/>
        </w:numPr>
        <w:spacing w:line="560" w:lineRule="exact"/>
        <w:ind w:left="630" w:leftChars="0" w:firstLineChars="0"/>
        <w:rPr>
          <w:rFonts w:hint="eastAsia" w:ascii="黑体" w:hAnsi="黑体" w:eastAsia="黑体" w:cs="黑体"/>
          <w:i w:val="0"/>
          <w:iCs w:val="0"/>
          <w:caps w:val="0"/>
          <w:color w:val="000000"/>
          <w:spacing w:val="0"/>
          <w:sz w:val="32"/>
          <w:szCs w:val="32"/>
          <w:shd w:val="clear" w:color="auto" w:fill="FFFFFF"/>
          <w:lang w:val="en-US" w:eastAsia="zh-CN"/>
        </w:rPr>
      </w:pPr>
    </w:p>
    <w:p>
      <w:pPr>
        <w:keepNext w:val="0"/>
        <w:keepLines w:val="0"/>
        <w:pageBreakBefore w:val="0"/>
        <w:widowControl w:val="0"/>
        <w:numPr>
          <w:ilvl w:val="-1"/>
          <w:numId w:val="0"/>
        </w:numPr>
        <w:kinsoku/>
        <w:wordWrap/>
        <w:overflowPunct/>
        <w:topLinePunct w:val="0"/>
        <w:autoSpaceDE/>
        <w:autoSpaceDN/>
        <w:bidi w:val="0"/>
        <w:snapToGrid/>
        <w:spacing w:line="600" w:lineRule="exact"/>
        <w:ind w:left="630" w:leftChars="0" w:firstLineChars="0"/>
        <w:jc w:val="both"/>
        <w:textAlignment w:val="auto"/>
        <w:rPr>
          <w:rFonts w:hint="eastAsia" w:ascii="黑体" w:hAnsi="黑体" w:eastAsia="黑体" w:cs="黑体"/>
          <w:i w:val="0"/>
          <w:iCs w:val="0"/>
          <w:caps w:val="0"/>
          <w:color w:val="000000"/>
          <w:spacing w:val="0"/>
          <w:sz w:val="32"/>
          <w:szCs w:val="32"/>
          <w:shd w:val="clear" w:color="auto" w:fill="FFFFFF"/>
          <w:lang w:val="en-US" w:eastAsia="zh-CN"/>
        </w:rPr>
      </w:pPr>
      <w:r>
        <w:rPr>
          <w:rFonts w:hint="eastAsia" w:ascii="黑体" w:hAnsi="黑体" w:eastAsia="黑体" w:cs="黑体"/>
          <w:i w:val="0"/>
          <w:iCs w:val="0"/>
          <w:caps w:val="0"/>
          <w:color w:val="000000"/>
          <w:spacing w:val="0"/>
          <w:sz w:val="32"/>
          <w:szCs w:val="32"/>
          <w:shd w:val="clear" w:color="auto" w:fill="FFFFFF"/>
          <w:lang w:val="en-US" w:eastAsia="zh-CN"/>
        </w:rPr>
        <w:t>一、修订背景</w:t>
      </w:r>
    </w:p>
    <w:p>
      <w:pPr>
        <w:keepNext w:val="0"/>
        <w:keepLines w:val="0"/>
        <w:pageBreakBefore w:val="0"/>
        <w:widowControl w:val="0"/>
        <w:numPr>
          <w:ilvl w:val="0"/>
          <w:numId w:val="0"/>
        </w:numPr>
        <w:kinsoku/>
        <w:wordWrap/>
        <w:overflowPunct/>
        <w:topLinePunct w:val="0"/>
        <w:autoSpaceDE/>
        <w:autoSpaceDN/>
        <w:bidi w:val="0"/>
        <w:snapToGrid/>
        <w:spacing w:line="60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仿宋_GB2312"/>
          <w:b w:val="0"/>
          <w:bCs w:val="0"/>
          <w:color w:val="000000"/>
          <w:sz w:val="32"/>
          <w:szCs w:val="32"/>
        </w:rPr>
        <w:t>根据《广东省省级财政专项资金管理办法（修订）》（粤府〔2023〕34号）</w:t>
      </w:r>
      <w:r>
        <w:rPr>
          <w:rFonts w:hint="eastAsia" w:cs="仿宋_GB2312"/>
          <w:b w:val="0"/>
          <w:bCs w:val="0"/>
          <w:color w:val="000000"/>
          <w:sz w:val="32"/>
          <w:szCs w:val="32"/>
          <w:lang w:eastAsia="zh-CN"/>
        </w:rPr>
        <w:t>、</w:t>
      </w:r>
      <w:r>
        <w:rPr>
          <w:rFonts w:hint="eastAsia" w:ascii="Times New Roman" w:hAnsi="Times New Roman" w:eastAsia="仿宋_GB2312" w:cs="Times New Roman"/>
          <w:color w:val="000000"/>
          <w:sz w:val="32"/>
          <w:szCs w:val="32"/>
          <w:shd w:val="clear" w:color="auto" w:fill="FFFFFF"/>
          <w:lang w:eastAsia="zh-CN"/>
        </w:rPr>
        <w:t>《广东省市场监督管理局（知识产权局）经管省财政专项资金管理办法（2024年修订）》（粤财工〔202</w:t>
      </w:r>
      <w:r>
        <w:rPr>
          <w:rFonts w:hint="eastAsia" w:ascii="Times New Roman" w:hAnsi="Times New Roman" w:eastAsia="仿宋_GB2312" w:cs="Times New Roman"/>
          <w:color w:val="000000"/>
          <w:sz w:val="32"/>
          <w:szCs w:val="32"/>
          <w:shd w:val="clear" w:color="auto" w:fill="FFFFFF"/>
          <w:lang w:val="en-US" w:eastAsia="zh-CN"/>
        </w:rPr>
        <w:t>4</w:t>
      </w:r>
      <w:r>
        <w:rPr>
          <w:rFonts w:hint="eastAsia" w:ascii="Times New Roman" w:hAnsi="Times New Roman" w:eastAsia="仿宋_GB2312" w:cs="Times New Roman"/>
          <w:color w:val="000000"/>
          <w:sz w:val="32"/>
          <w:szCs w:val="32"/>
          <w:shd w:val="clear" w:color="auto" w:fill="FFFFFF"/>
          <w:lang w:eastAsia="zh-CN"/>
        </w:rPr>
        <w:t>〕2号）</w:t>
      </w:r>
      <w:r>
        <w:rPr>
          <w:rFonts w:hint="eastAsia" w:ascii="Times New Roman" w:hAnsi="Times New Roman" w:cs="Times New Roman"/>
          <w:color w:val="000000"/>
          <w:sz w:val="32"/>
          <w:szCs w:val="32"/>
          <w:shd w:val="clear" w:color="auto" w:fill="FFFFFF"/>
          <w:lang w:eastAsia="zh-CN"/>
        </w:rPr>
        <w:t>和</w:t>
      </w:r>
      <w:r>
        <w:rPr>
          <w:rFonts w:hint="eastAsia" w:ascii="Times New Roman" w:hAnsi="Times New Roman" w:eastAsia="仿宋_GB2312" w:cs="Times New Roman"/>
          <w:color w:val="000000"/>
          <w:sz w:val="32"/>
          <w:szCs w:val="32"/>
          <w:shd w:val="clear" w:color="auto" w:fill="FFFFFF"/>
        </w:rPr>
        <w:t>《广东省市场监督管理局促进经济高质量发展专项资金管理项目工作规程（试行）</w:t>
      </w:r>
      <w:r>
        <w:rPr>
          <w:rFonts w:hint="eastAsia" w:ascii="Times New Roman" w:hAnsi="Times New Roman" w:eastAsia="仿宋_GB2312" w:cs="Times New Roman"/>
          <w:color w:val="000000"/>
          <w:sz w:val="32"/>
          <w:szCs w:val="32"/>
          <w:shd w:val="clear" w:color="auto" w:fill="FFFFFF"/>
          <w:lang w:eastAsia="zh-CN"/>
        </w:rPr>
        <w:t>》（粤市监财〔2023〕457号）等规定，对我局专项资金提出了加强统筹、保障重点，规范设立、严控范围，提前储备、做实项目，绩效优先、强化应用等更加严格、规范的要求。同时，根据</w:t>
      </w:r>
      <w:r>
        <w:rPr>
          <w:rFonts w:hint="default" w:ascii="Times New Roman" w:hAnsi="Times New Roman" w:eastAsia="仿宋_GB2312" w:cs="Times New Roman"/>
          <w:color w:val="000000"/>
          <w:sz w:val="32"/>
          <w:szCs w:val="32"/>
          <w:shd w:val="clear" w:color="auto" w:fill="FFFFFF"/>
        </w:rPr>
        <w:t>市场监管总局等四部委印发的《关于开展妨碍统一市场和公平竞争的政策措施清理工作的通知》（国市监竞协发〔2023〕53号），</w:t>
      </w:r>
      <w:r>
        <w:rPr>
          <w:rFonts w:hint="eastAsia" w:ascii="Times New Roman" w:hAnsi="Times New Roman" w:eastAsia="仿宋_GB2312" w:cs="Times New Roman"/>
          <w:color w:val="000000"/>
          <w:sz w:val="32"/>
          <w:szCs w:val="32"/>
          <w:shd w:val="clear" w:color="auto" w:fill="FFFFFF"/>
          <w:lang w:eastAsia="zh-CN"/>
        </w:rPr>
        <w:t>要求开展</w:t>
      </w:r>
      <w:r>
        <w:rPr>
          <w:rFonts w:hint="default" w:ascii="Times New Roman" w:hAnsi="Times New Roman" w:eastAsia="仿宋_GB2312" w:cs="Times New Roman"/>
          <w:color w:val="000000"/>
          <w:sz w:val="32"/>
          <w:szCs w:val="32"/>
          <w:shd w:val="clear" w:color="auto" w:fill="FFFFFF"/>
        </w:rPr>
        <w:t>妨碍统一市场和公平竞争政策措施清理工作</w:t>
      </w:r>
      <w:r>
        <w:rPr>
          <w:rFonts w:hint="eastAsia" w:ascii="Times New Roman" w:hAnsi="Times New Roman" w:eastAsia="仿宋_GB2312" w:cs="Times New Roman"/>
          <w:color w:val="000000"/>
          <w:sz w:val="32"/>
          <w:szCs w:val="32"/>
          <w:shd w:val="clear" w:color="auto" w:fill="FFFFFF"/>
          <w:lang w:eastAsia="zh-CN"/>
        </w:rPr>
        <w:t>，建设全国统一大市场和公平竞争</w:t>
      </w:r>
      <w:r>
        <w:rPr>
          <w:rFonts w:hint="default" w:ascii="Times New Roman" w:hAnsi="Times New Roman" w:eastAsia="仿宋_GB2312" w:cs="Times New Roman"/>
          <w:color w:val="000000"/>
          <w:sz w:val="32"/>
          <w:szCs w:val="32"/>
          <w:shd w:val="clear" w:color="auto" w:fill="FFFFFF"/>
        </w:rPr>
        <w:t>。</w:t>
      </w:r>
      <w:r>
        <w:rPr>
          <w:rFonts w:hint="eastAsia" w:ascii="Times New Roman" w:hAnsi="Times New Roman" w:eastAsia="仿宋_GB2312" w:cs="Times New Roman"/>
          <w:sz w:val="32"/>
          <w:szCs w:val="32"/>
          <w:lang w:val="en-US" w:eastAsia="zh-CN"/>
        </w:rPr>
        <w:t>根据新形势和新要求，</w:t>
      </w:r>
      <w:r>
        <w:rPr>
          <w:rFonts w:hint="eastAsia" w:ascii="仿宋_GB2312" w:hAnsi="宋体" w:eastAsia="仿宋_GB2312" w:cs="仿宋_GB2312"/>
          <w:color w:val="000000"/>
          <w:sz w:val="32"/>
          <w:szCs w:val="32"/>
          <w:shd w:val="clear" w:color="auto" w:fill="FFFFFF"/>
          <w:lang w:eastAsia="zh-CN"/>
        </w:rPr>
        <w:t>《</w:t>
      </w:r>
      <w:r>
        <w:rPr>
          <w:rFonts w:hint="eastAsia" w:ascii="仿宋_GB2312" w:hAnsi="宋体" w:eastAsia="仿宋_GB2312" w:cs="仿宋_GB2312"/>
          <w:color w:val="000000"/>
          <w:sz w:val="32"/>
          <w:szCs w:val="32"/>
          <w:shd w:val="clear" w:color="auto" w:fill="FFFFFF"/>
        </w:rPr>
        <w:t>广东省实施标准化战略专项资金管理细则</w:t>
      </w:r>
      <w:r>
        <w:rPr>
          <w:rFonts w:hint="eastAsia" w:ascii="仿宋_GB2312" w:hAnsi="宋体" w:eastAsia="仿宋_GB2312" w:cs="仿宋_GB2312"/>
          <w:color w:val="000000"/>
          <w:sz w:val="32"/>
          <w:szCs w:val="32"/>
          <w:shd w:val="clear" w:color="auto" w:fill="FFFFFF"/>
          <w:lang w:eastAsia="zh-CN"/>
        </w:rPr>
        <w:t>》（</w:t>
      </w:r>
      <w:r>
        <w:rPr>
          <w:rFonts w:hint="eastAsia" w:ascii="仿宋_GB2312" w:hAnsi="宋体" w:eastAsia="仿宋_GB2312" w:cs="仿宋_GB2312"/>
          <w:color w:val="000000"/>
          <w:sz w:val="32"/>
          <w:szCs w:val="32"/>
          <w:shd w:val="clear" w:color="auto" w:fill="FFFFFF"/>
        </w:rPr>
        <w:t>粤市监标准</w:t>
      </w:r>
      <w:r>
        <w:rPr>
          <w:rFonts w:hint="default" w:ascii="Times New Roman" w:hAnsi="Times New Roman" w:eastAsia="仿宋_GB2312" w:cs="Times New Roman"/>
          <w:color w:val="000000"/>
          <w:sz w:val="32"/>
          <w:szCs w:val="32"/>
          <w:shd w:val="clear" w:color="auto" w:fill="FFFFFF"/>
        </w:rPr>
        <w:t>〔202</w:t>
      </w:r>
      <w:r>
        <w:rPr>
          <w:rFonts w:hint="eastAsia" w:ascii="Times New Roman" w:hAnsi="Times New Roman" w:eastAsia="仿宋_GB2312" w:cs="Times New Roman"/>
          <w:color w:val="000000"/>
          <w:sz w:val="32"/>
          <w:szCs w:val="32"/>
          <w:shd w:val="clear" w:color="auto" w:fill="FFFFFF"/>
          <w:lang w:val="en-US" w:eastAsia="zh-CN"/>
        </w:rPr>
        <w:t>0</w:t>
      </w:r>
      <w:r>
        <w:rPr>
          <w:rFonts w:hint="default" w:ascii="Times New Roman" w:hAnsi="Times New Roman" w:eastAsia="仿宋_GB2312" w:cs="Times New Roman"/>
          <w:color w:val="000000"/>
          <w:sz w:val="32"/>
          <w:szCs w:val="32"/>
          <w:shd w:val="clear" w:color="auto" w:fill="FFFFFF"/>
        </w:rPr>
        <w:t>〕</w:t>
      </w:r>
      <w:r>
        <w:rPr>
          <w:rFonts w:hint="eastAsia" w:ascii="仿宋_GB2312" w:hAnsi="宋体" w:eastAsia="仿宋_GB2312" w:cs="仿宋_GB2312"/>
          <w:color w:val="000000"/>
          <w:sz w:val="32"/>
          <w:szCs w:val="32"/>
          <w:shd w:val="clear" w:color="auto" w:fill="FFFFFF"/>
        </w:rPr>
        <w:t>15</w:t>
      </w:r>
      <w:r>
        <w:rPr>
          <w:rFonts w:hint="eastAsia" w:ascii="仿宋_GB2312" w:hAnsi="宋体" w:eastAsia="仿宋_GB2312" w:cs="仿宋_GB2312"/>
          <w:color w:val="000000"/>
          <w:sz w:val="32"/>
          <w:szCs w:val="32"/>
          <w:shd w:val="clear" w:color="auto" w:fill="FFFFFF"/>
          <w:lang w:val="en-US" w:eastAsia="zh-CN"/>
        </w:rPr>
        <w:t>9</w:t>
      </w:r>
      <w:r>
        <w:rPr>
          <w:rFonts w:hint="eastAsia" w:ascii="仿宋_GB2312" w:hAnsi="宋体" w:eastAsia="仿宋_GB2312" w:cs="仿宋_GB2312"/>
          <w:color w:val="000000"/>
          <w:sz w:val="32"/>
          <w:szCs w:val="32"/>
          <w:shd w:val="clear" w:color="auto" w:fill="FFFFFF"/>
          <w:lang w:eastAsia="zh-CN"/>
        </w:rPr>
        <w:t>号，以下简称《细则》）</w:t>
      </w:r>
      <w:r>
        <w:rPr>
          <w:rFonts w:hint="eastAsia" w:ascii="Times New Roman" w:hAnsi="Times New Roman" w:eastAsia="仿宋_GB2312" w:cs="Times New Roman"/>
          <w:sz w:val="32"/>
          <w:szCs w:val="32"/>
          <w:lang w:val="en-US" w:eastAsia="zh-CN"/>
        </w:rPr>
        <w:t>有必要重新修订完善。</w:t>
      </w:r>
    </w:p>
    <w:p>
      <w:pPr>
        <w:keepNext w:val="0"/>
        <w:keepLines w:val="0"/>
        <w:pageBreakBefore w:val="0"/>
        <w:widowControl w:val="0"/>
        <w:kinsoku/>
        <w:wordWrap/>
        <w:overflowPunct/>
        <w:topLinePunct w:val="0"/>
        <w:autoSpaceDE/>
        <w:autoSpaceDN/>
        <w:bidi w:val="0"/>
        <w:adjustRightInd w:val="0"/>
        <w:snapToGrid/>
        <w:spacing w:line="600" w:lineRule="exact"/>
        <w:ind w:firstLine="640" w:firstLineChars="200"/>
        <w:jc w:val="both"/>
        <w:textAlignment w:val="auto"/>
        <w:rPr>
          <w:rFonts w:hint="default" w:ascii="黑体" w:hAnsi="黑体" w:eastAsia="黑体" w:cs="黑体"/>
          <w:i w:val="0"/>
          <w:iCs w:val="0"/>
          <w:caps w:val="0"/>
          <w:color w:val="000000"/>
          <w:spacing w:val="0"/>
          <w:sz w:val="32"/>
          <w:szCs w:val="32"/>
          <w:shd w:val="clear" w:color="auto" w:fill="FFFFFF"/>
          <w:lang w:val="en-US" w:eastAsia="zh-CN"/>
        </w:rPr>
      </w:pPr>
      <w:r>
        <w:rPr>
          <w:rFonts w:hint="eastAsia" w:ascii="黑体" w:hAnsi="黑体" w:eastAsia="黑体" w:cs="黑体"/>
          <w:i w:val="0"/>
          <w:iCs w:val="0"/>
          <w:caps w:val="0"/>
          <w:color w:val="000000"/>
          <w:spacing w:val="0"/>
          <w:sz w:val="32"/>
          <w:szCs w:val="32"/>
          <w:shd w:val="clear" w:color="auto" w:fill="FFFFFF"/>
          <w:lang w:val="en-US" w:eastAsia="zh-CN"/>
        </w:rPr>
        <w:t>二、修订内容及说明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经研究，拟对《细则》内容修订如下</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000000"/>
          <w:sz w:val="32"/>
          <w:szCs w:val="32"/>
          <w:shd w:val="clear" w:color="auto" w:fill="FFFFFF"/>
          <w:lang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（一）修改</w:t>
      </w:r>
      <w:r>
        <w:rPr>
          <w:rFonts w:hint="eastAsia" w:ascii="Times New Roman" w:hAnsi="Times New Roman" w:eastAsia="仿宋_GB2312" w:cs="仿宋_GB2312"/>
          <w:b w:val="0"/>
          <w:bCs w:val="0"/>
          <w:color w:val="000000"/>
          <w:sz w:val="32"/>
          <w:szCs w:val="32"/>
          <w:lang w:eastAsia="zh-CN"/>
        </w:rPr>
        <w:t>专项</w:t>
      </w:r>
      <w:r>
        <w:rPr>
          <w:rFonts w:hint="eastAsia" w:ascii="Times New Roman" w:hAnsi="Times New Roman" w:eastAsia="仿宋_GB2312" w:cs="仿宋_GB2312"/>
          <w:b w:val="0"/>
          <w:bCs w:val="0"/>
          <w:color w:val="000000"/>
          <w:sz w:val="32"/>
          <w:szCs w:val="32"/>
        </w:rPr>
        <w:t>资金使用范围</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第十条</w:t>
      </w:r>
      <w:r>
        <w:rPr>
          <w:rFonts w:hint="eastAsia" w:ascii="Times New Roman" w:hAnsi="Times New Roman" w:eastAsia="仿宋_GB2312" w:cs="仿宋_GB2312"/>
          <w:b w:val="0"/>
          <w:bCs w:val="0"/>
          <w:color w:val="000000"/>
          <w:sz w:val="32"/>
          <w:szCs w:val="32"/>
          <w:lang w:eastAsia="zh-CN"/>
        </w:rPr>
        <w:t>“专项</w:t>
      </w:r>
      <w:r>
        <w:rPr>
          <w:rFonts w:hint="eastAsia" w:ascii="Times New Roman" w:hAnsi="Times New Roman" w:eastAsia="仿宋_GB2312" w:cs="仿宋_GB2312"/>
          <w:b w:val="0"/>
          <w:bCs w:val="0"/>
          <w:color w:val="000000"/>
          <w:sz w:val="32"/>
          <w:szCs w:val="32"/>
        </w:rPr>
        <w:t>资金使用范围</w:t>
      </w:r>
      <w:r>
        <w:rPr>
          <w:rFonts w:hint="eastAsia" w:ascii="Times New Roman" w:hAnsi="Times New Roman" w:eastAsia="仿宋_GB2312" w:cs="仿宋_GB2312"/>
          <w:b w:val="0"/>
          <w:bCs w:val="0"/>
          <w:color w:val="000000"/>
          <w:sz w:val="32"/>
          <w:szCs w:val="32"/>
          <w:lang w:eastAsia="zh-CN"/>
        </w:rPr>
        <w:t>为</w:t>
      </w:r>
      <w:r>
        <w:rPr>
          <w:rFonts w:hint="eastAsia" w:ascii="Times New Roman" w:hAnsi="Times New Roman" w:eastAsia="仿宋_GB2312" w:cs="仿宋_GB2312"/>
          <w:b w:val="0"/>
          <w:bCs w:val="0"/>
          <w:color w:val="000000"/>
          <w:sz w:val="32"/>
          <w:szCs w:val="32"/>
        </w:rPr>
        <w:t>广东省境内（广州、深圳地区下辖单位除外）依法设立的法人单位。其中第七条第（八）项含广州、深圳地区下辖单位，其他项目确需资助广州、深圳地区下辖单位的，仅限于标准化活动的组织和管理、重要标准化试点示范等项目，一次性资助额度不超过10万元</w:t>
      </w:r>
      <w:r>
        <w:rPr>
          <w:rFonts w:hint="eastAsia" w:ascii="Times New Roman" w:hAnsi="Times New Roman" w:eastAsia="仿宋_GB2312" w:cs="仿宋_GB2312"/>
          <w:b w:val="0"/>
          <w:bCs w:val="0"/>
          <w:color w:val="000000"/>
          <w:sz w:val="32"/>
          <w:szCs w:val="32"/>
          <w:lang w:eastAsia="zh-CN"/>
        </w:rPr>
        <w:t>。</w:t>
      </w:r>
      <w:r>
        <w:rPr>
          <w:rFonts w:hint="eastAsia" w:ascii="Times New Roman" w:hAnsi="Times New Roman" w:eastAsia="仿宋_GB2312" w:cs="仿宋_GB2312"/>
          <w:b w:val="0"/>
          <w:bCs w:val="0"/>
          <w:color w:val="000000"/>
          <w:sz w:val="32"/>
          <w:szCs w:val="32"/>
        </w:rPr>
        <w:t>粤港澳大湾区标准化规划、标准研制、标准化活动组织资助范围为粤港澳大湾区内依法注册设立的法人机构（含港澳符合条件的法人机构）。</w:t>
      </w:r>
      <w:r>
        <w:rPr>
          <w:rFonts w:hint="eastAsia" w:ascii="Times New Roman" w:hAnsi="Times New Roman" w:eastAsia="仿宋_GB2312" w:cs="仿宋_GB2312"/>
          <w:b w:val="0"/>
          <w:bCs w:val="0"/>
          <w:color w:val="000000"/>
          <w:sz w:val="32"/>
          <w:szCs w:val="32"/>
          <w:lang w:eastAsia="zh-CN"/>
        </w:rPr>
        <w:t>”修改为“专项</w:t>
      </w:r>
      <w:r>
        <w:rPr>
          <w:rFonts w:hint="eastAsia" w:ascii="Times New Roman" w:hAnsi="Times New Roman" w:eastAsia="仿宋_GB2312" w:cs="仿宋_GB2312"/>
          <w:b w:val="0"/>
          <w:bCs w:val="0"/>
          <w:color w:val="000000"/>
          <w:sz w:val="32"/>
          <w:szCs w:val="32"/>
        </w:rPr>
        <w:t>资金使用范围</w:t>
      </w:r>
      <w:r>
        <w:rPr>
          <w:rFonts w:hint="eastAsia" w:ascii="Times New Roman" w:hAnsi="Times New Roman" w:eastAsia="仿宋_GB2312" w:cs="仿宋_GB2312"/>
          <w:b w:val="0"/>
          <w:bCs w:val="0"/>
          <w:color w:val="000000"/>
          <w:sz w:val="32"/>
          <w:szCs w:val="32"/>
          <w:lang w:eastAsia="zh-CN"/>
        </w:rPr>
        <w:t>为在境内登记注册，具有独立法人资格的企业、事业单位、社会团体等”。</w:t>
      </w:r>
      <w:r>
        <w:rPr>
          <w:rFonts w:hint="eastAsia" w:ascii="仿宋_GB2312" w:hAnsi="宋体" w:eastAsia="仿宋_GB2312" w:cs="仿宋_GB2312"/>
          <w:i w:val="0"/>
          <w:iCs w:val="0"/>
          <w:caps w:val="0"/>
          <w:color w:val="000000"/>
          <w:spacing w:val="0"/>
          <w:sz w:val="32"/>
          <w:szCs w:val="32"/>
          <w:shd w:val="clear" w:color="auto" w:fill="FFFFFF"/>
          <w:lang w:val="en-US" w:eastAsia="zh-CN"/>
        </w:rPr>
        <w:t>进一步强化</w:t>
      </w:r>
      <w:r>
        <w:rPr>
          <w:rFonts w:hint="default" w:ascii="Times New Roman" w:hAnsi="Times New Roman" w:eastAsia="仿宋_GB2312" w:cs="Times New Roman"/>
          <w:color w:val="000000"/>
          <w:sz w:val="32"/>
          <w:szCs w:val="32"/>
          <w:shd w:val="clear" w:color="auto" w:fill="FFFFFF"/>
        </w:rPr>
        <w:t>统一市场和公平竞争</w:t>
      </w:r>
      <w:r>
        <w:rPr>
          <w:rFonts w:hint="eastAsia" w:ascii="Times New Roman" w:hAnsi="Times New Roman" w:eastAsia="仿宋_GB2312" w:cs="Times New Roman"/>
          <w:color w:val="00000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（二）按照</w:t>
      </w:r>
      <w:r>
        <w:rPr>
          <w:rFonts w:hint="eastAsia" w:ascii="Times New Roman" w:hAnsi="Times New Roman" w:eastAsia="仿宋_GB2312" w:cs="Times New Roman"/>
          <w:color w:val="000000"/>
          <w:sz w:val="32"/>
          <w:szCs w:val="32"/>
          <w:shd w:val="clear" w:color="auto" w:fill="FFFFFF"/>
        </w:rPr>
        <w:t>《广东省市场监督管理局促进经济高质量发展专项资金管理项目工</w:t>
      </w:r>
      <w:r>
        <w:rPr>
          <w:rFonts w:hint="eastAsia" w:ascii="仿宋_GB2312" w:hAnsi="宋体" w:eastAsia="仿宋_GB2312" w:cs="仿宋_GB2312"/>
          <w:i w:val="0"/>
          <w:iCs w:val="0"/>
          <w:caps w:val="0"/>
          <w:color w:val="000000"/>
          <w:spacing w:val="0"/>
          <w:sz w:val="32"/>
          <w:szCs w:val="32"/>
          <w:shd w:val="clear" w:color="auto" w:fill="FFFFFF"/>
          <w:lang w:val="en-US" w:eastAsia="zh-CN"/>
        </w:rPr>
        <w:t>作规程（试行）》（粤市监财〔2023〕457号）新要求，修改调整项目管理、监督管理、绩效评价、信息公开等不适宜的条款内容。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（三）删除对协助制定国际标准和国家标准的资助。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（四）进一步明确、细化“湾区标准”的相关资助范围。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（五）同一单位在同一年度接受资助的金额，从原则上不得超过当年度专</w:t>
      </w:r>
      <w:bookmarkStart w:id="0" w:name="_GoBack"/>
      <w:bookmarkEnd w:id="0"/>
      <w:r>
        <w:rPr>
          <w:rFonts w:hint="eastAsia" w:ascii="仿宋_GB2312" w:hAnsi="宋体" w:eastAsia="仿宋_GB2312" w:cs="仿宋_GB2312"/>
          <w:i w:val="0"/>
          <w:iCs w:val="0"/>
          <w:caps w:val="0"/>
          <w:color w:val="000000"/>
          <w:spacing w:val="0"/>
          <w:sz w:val="32"/>
          <w:szCs w:val="32"/>
          <w:shd w:val="clear" w:color="auto" w:fill="FFFFFF"/>
          <w:lang w:val="en-US" w:eastAsia="zh-CN"/>
        </w:rPr>
        <w:t>项资金总额的8%调整为5%。</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（六）进一步明确每承担1项省级标准化行政主管部门发布的标准体系规划和路线图，对牵头单位的资助额度不超过30万元。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仿宋_GB2312" w:hAnsi="宋体" w:eastAsia="仿宋_GB2312" w:cs="仿宋_GB2312"/>
          <w:i w:val="0"/>
          <w:iCs w:val="0"/>
          <w:caps w:val="0"/>
          <w:color w:val="000000"/>
          <w:spacing w:val="0"/>
          <w:sz w:val="32"/>
          <w:szCs w:val="32"/>
          <w:shd w:val="clear" w:color="auto" w:fill="FFFFFF"/>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（七）根据条款内容，直接给出《国际标准化组织及其他重要国际组织名录》（附件）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lang w:val="en-US" w:eastAsia="zh-CN"/>
        </w:rPr>
      </w:pPr>
      <w:r>
        <w:rPr>
          <w:rFonts w:hint="eastAsia" w:ascii="仿宋_GB2312" w:hAnsi="宋体" w:eastAsia="仿宋_GB2312" w:cs="仿宋_GB2312"/>
          <w:i w:val="0"/>
          <w:iCs w:val="0"/>
          <w:caps w:val="0"/>
          <w:color w:val="000000"/>
          <w:spacing w:val="0"/>
          <w:sz w:val="32"/>
          <w:szCs w:val="32"/>
          <w:shd w:val="clear" w:color="auto" w:fill="FFFFFF"/>
          <w:lang w:val="en-US" w:eastAsia="zh-CN"/>
        </w:rPr>
        <w:t>（八）规范部分条款的文字表述。</w:t>
      </w:r>
    </w:p>
    <w:sectPr>
      <w:headerReference r:id="rId3" w:type="default"/>
      <w:footerReference r:id="rId4" w:type="default"/>
      <w:pgSz w:w="11906" w:h="16838"/>
      <w:pgMar w:top="1587" w:right="1587" w:bottom="1587"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Heiti SC Medium">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chineseCountingThousand"/>
      <w:suff w:val="space"/>
      <w:lvlText w:val="第%1章"/>
      <w:lvlJc w:val="left"/>
      <w:pPr>
        <w:ind w:left="0" w:firstLine="0"/>
      </w:pPr>
      <w:rPr>
        <w:rFonts w:hint="default"/>
        <w:sz w:val="36"/>
        <w:szCs w:val="44"/>
      </w:rPr>
    </w:lvl>
    <w:lvl w:ilvl="1" w:tentative="0">
      <w:start w:val="1"/>
      <w:numFmt w:val="decimal"/>
      <w:isLgl/>
      <w:suff w:val="space"/>
      <w:lvlText w:val="%1.%2"/>
      <w:lvlJc w:val="left"/>
      <w:pPr>
        <w:ind w:left="0" w:firstLine="0"/>
      </w:pPr>
      <w:rPr>
        <w:rFonts w:hint="eastAsia"/>
      </w:rPr>
    </w:lvl>
    <w:lvl w:ilvl="2" w:tentative="0">
      <w:start w:val="1"/>
      <w:numFmt w:val="decimal"/>
      <w:pStyle w:val="3"/>
      <w:lvlText w:val="%3."/>
      <w:lvlJc w:val="left"/>
      <w:pPr>
        <w:ind w:left="0" w:firstLine="0"/>
      </w:pPr>
      <w:rPr>
        <w:rFonts w:hint="eastAsia"/>
        <w:b w:val="0"/>
        <w:bCs w:val="0"/>
        <w:i w:val="0"/>
        <w:iCs w:val="0"/>
        <w:caps w:val="0"/>
        <w:smallCaps w:val="0"/>
        <w:snapToGrid w:val="0"/>
        <w:vanish w:val="0"/>
        <w:color w:val="000000"/>
        <w:spacing w:val="0"/>
        <w:w w:val="0"/>
        <w:kern w:val="0"/>
        <w:position w:val="0"/>
        <w:szCs w:val="0"/>
        <w:u w:val="none"/>
        <w:vertAlign w:val="baseline"/>
      </w:rPr>
    </w:lvl>
    <w:lvl w:ilvl="3" w:tentative="0">
      <w:start w:val="1"/>
      <w:numFmt w:val="decimal"/>
      <w:isLgl/>
      <w:suff w:val="space"/>
      <w:lvlText w:val="%1.%2.%3.%4"/>
      <w:lvlJc w:val="left"/>
      <w:pPr>
        <w:ind w:left="0" w:firstLine="0"/>
      </w:pPr>
      <w:rPr>
        <w:rFonts w:hint="default" w:ascii="Times New Roman" w:hAnsi="Times New Roman"/>
        <w:b w:val="0"/>
        <w:i w:val="0"/>
        <w:sz w:val="28"/>
        <w:szCs w:val="28"/>
      </w:rPr>
    </w:lvl>
    <w:lvl w:ilvl="4" w:tentative="0">
      <w:start w:val="1"/>
      <w:numFmt w:val="decimal"/>
      <w:isLgl/>
      <w:suff w:val="space"/>
      <w:lvlText w:val="%1.%2.%3.%4.%5"/>
      <w:lvlJc w:val="left"/>
      <w:pPr>
        <w:ind w:left="0" w:firstLine="0"/>
      </w:pPr>
      <w:rPr>
        <w:rFonts w:hint="default" w:ascii="Times New Roman" w:hAnsi="Times New Roman"/>
        <w:sz w:val="24"/>
        <w:szCs w:val="24"/>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decimal"/>
      <w:isLgl/>
      <w:suff w:val="space"/>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1MWU0OWNiYTg0OTAyZmNlNjg3MWEyYzM4M2M2ZDUifQ=="/>
  </w:docVars>
  <w:rsids>
    <w:rsidRoot w:val="00000000"/>
    <w:rsid w:val="2C6A73F8"/>
    <w:rsid w:val="39BC80A1"/>
    <w:rsid w:val="49E42547"/>
    <w:rsid w:val="4BA88C59"/>
    <w:rsid w:val="4BF788C1"/>
    <w:rsid w:val="4CDF58FD"/>
    <w:rsid w:val="4ED6808F"/>
    <w:rsid w:val="55CF201D"/>
    <w:rsid w:val="56B479D5"/>
    <w:rsid w:val="599EB732"/>
    <w:rsid w:val="59F6323A"/>
    <w:rsid w:val="5D7A9A3C"/>
    <w:rsid w:val="645F1BE8"/>
    <w:rsid w:val="68F24AD4"/>
    <w:rsid w:val="6F9EDE7B"/>
    <w:rsid w:val="6FF965D2"/>
    <w:rsid w:val="6FFFC66A"/>
    <w:rsid w:val="75E7B30C"/>
    <w:rsid w:val="7A622507"/>
    <w:rsid w:val="7DFF57CC"/>
    <w:rsid w:val="7E99A281"/>
    <w:rsid w:val="7F7BEC0B"/>
    <w:rsid w:val="7FFFC709"/>
    <w:rsid w:val="99B1B802"/>
    <w:rsid w:val="AA7659DA"/>
    <w:rsid w:val="BF7F9870"/>
    <w:rsid w:val="BFEF75D8"/>
    <w:rsid w:val="CBD65729"/>
    <w:rsid w:val="CFF504A6"/>
    <w:rsid w:val="D26F8D74"/>
    <w:rsid w:val="DE93EE1C"/>
    <w:rsid w:val="DEF7889A"/>
    <w:rsid w:val="DFA60714"/>
    <w:rsid w:val="DFAE76DF"/>
    <w:rsid w:val="DFB774DD"/>
    <w:rsid w:val="F1FDBDD8"/>
    <w:rsid w:val="F5FC46B4"/>
    <w:rsid w:val="F7D55804"/>
    <w:rsid w:val="F7EB6A92"/>
    <w:rsid w:val="F9BFFA0A"/>
    <w:rsid w:val="FBCE4A23"/>
    <w:rsid w:val="FD77F0AD"/>
    <w:rsid w:val="FD7BDAEB"/>
    <w:rsid w:val="FEBFEE1F"/>
    <w:rsid w:val="FEDD9292"/>
    <w:rsid w:val="FF7E3599"/>
    <w:rsid w:val="FF9D9FCB"/>
    <w:rsid w:val="FFEC6EB1"/>
    <w:rsid w:val="FFF58504"/>
    <w:rsid w:val="FFFF7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3"/>
    <w:basedOn w:val="1"/>
    <w:next w:val="1"/>
    <w:qFormat/>
    <w:uiPriority w:val="0"/>
    <w:pPr>
      <w:keepNext/>
      <w:keepLines/>
      <w:numPr>
        <w:ilvl w:val="2"/>
        <w:numId w:val="1"/>
      </w:numPr>
      <w:tabs>
        <w:tab w:val="left" w:pos="284"/>
      </w:tabs>
      <w:outlineLvl w:val="2"/>
    </w:pPr>
    <w:rPr>
      <w:rFonts w:ascii="Heiti SC Medium" w:hAnsi="Heiti SC Medium" w:eastAsia="仿宋_GB2312" w:cs="Times New Roman"/>
      <w:bCs/>
      <w:sz w:val="32"/>
      <w:szCs w:val="32"/>
      <w:lang w:val="en-US" w:eastAsia="zh-CN" w:bidi="ar-SA"/>
    </w:rPr>
  </w:style>
  <w:style w:type="character" w:default="1" w:styleId="8">
    <w:name w:val="Default Paragraph Font"/>
    <w:qFormat/>
    <w:uiPriority w:val="0"/>
  </w:style>
  <w:style w:type="table" w:default="1" w:styleId="7">
    <w:name w:val="Normal Table"/>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widowControl w:val="0"/>
      <w:ind w:left="420" w:leftChars="200"/>
      <w:jc w:val="both"/>
    </w:pPr>
    <w:rPr>
      <w:rFonts w:ascii="Times New Roman" w:hAnsi="Times New Roman" w:eastAsia="宋体" w:cs="Times New Roman"/>
      <w:kern w:val="2"/>
      <w:sz w:val="30"/>
      <w:szCs w:val="24"/>
      <w:lang w:val="en-US" w:eastAsia="zh-CN" w:bidi="ar-SA"/>
    </w:rPr>
  </w:style>
  <w:style w:type="paragraph" w:styleId="4">
    <w:name w:val="Body Text"/>
    <w:basedOn w:val="1"/>
    <w:qFormat/>
    <w:uiPriority w:val="0"/>
    <w:pPr>
      <w:spacing w:after="12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List Paragraph_39f796b0-bd8f-4df7-8990-402d1bbc185f"/>
    <w:basedOn w:val="1"/>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1060</Words>
  <Characters>1074</Characters>
  <Lines>1</Lines>
  <Paragraphs>1</Paragraphs>
  <TotalTime>4</TotalTime>
  <ScaleCrop>false</ScaleCrop>
  <LinksUpToDate>false</LinksUpToDate>
  <CharactersWithSpaces>1078</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2020-12-30T22:40:00Z</dcterms:created>
  <dc:creator>Administrator</dc:creator>
  <cp:lastModifiedBy>scj</cp:lastModifiedBy>
  <cp:lastPrinted>2024-05-11T19:41:00Z</cp:lastPrinted>
  <dcterms:modified xsi:type="dcterms:W3CDTF">2024-06-18T16:33:17Z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ribbonExt">
    <vt:lpwstr>{"WPSExtOfficeTab":{"OnGetEnabled":false,"OnGetVisible":false}}</vt:lpwstr>
  </property>
  <property fmtid="{D5CDD505-2E9C-101B-9397-08002B2CF9AE}" pid="4" name="ICV">
    <vt:lpwstr>8D2DCA6DE98A48D3967FA5C094C445CB_13</vt:lpwstr>
  </property>
  <property fmtid="{D5CDD505-2E9C-101B-9397-08002B2CF9AE}" pid="5" name="showFlag">
    <vt:bool>true</vt:bool>
  </property>
  <property fmtid="{D5CDD505-2E9C-101B-9397-08002B2CF9AE}" pid="6" name="userName">
    <vt:lpwstr>傅翔</vt:lpwstr>
  </property>
</Properties>
</file>