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pPr>
        <w:spacing w:line="560" w:lineRule="exact"/>
        <w:jc w:val="center"/>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 xml:space="preserve"> </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p>
    <w:p>
      <w:pPr>
        <w:spacing w:line="560" w:lineRule="exact"/>
        <w:jc w:val="center"/>
        <w:outlineLvl w:val="0"/>
        <w:rPr>
          <w:rFonts w:hint="eastAsia" w:ascii="方正小标宋简体" w:hAnsi="方正小标宋简体" w:eastAsia="方正小标宋简体" w:cs="方正小标宋_GBK"/>
          <w:sz w:val="44"/>
          <w:szCs w:val="44"/>
          <w:lang w:eastAsia="zh-CN"/>
        </w:rPr>
      </w:pPr>
      <w:r>
        <w:rPr>
          <w:rFonts w:hint="eastAsia" w:ascii="方正小标宋简体" w:hAnsi="方正小标宋简体" w:eastAsia="方正小标宋简体" w:cs="方正小标宋_GBK"/>
          <w:color w:val="auto"/>
          <w:w w:val="95"/>
          <w:sz w:val="44"/>
          <w:szCs w:val="44"/>
          <w:lang w:eastAsia="zh-CN"/>
        </w:rPr>
        <w:t>鼓励营利性服务业企业做大做强</w:t>
      </w:r>
      <w:r>
        <w:rPr>
          <w:rFonts w:hint="eastAsia" w:ascii="方正小标宋简体" w:hAnsi="方正小标宋简体" w:eastAsia="方正小标宋简体" w:cs="方正小标宋_GBK"/>
          <w:sz w:val="44"/>
          <w:szCs w:val="44"/>
          <w:lang w:eastAsia="zh-CN"/>
        </w:rPr>
        <w:t>项目</w:t>
      </w:r>
    </w:p>
    <w:p>
      <w:pPr>
        <w:spacing w:line="560" w:lineRule="exact"/>
        <w:jc w:val="center"/>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操作规程</w:t>
      </w:r>
    </w:p>
    <w:p>
      <w:pPr>
        <w:widowControl/>
        <w:spacing w:beforeLines="0" w:after="200" w:afterLines="0" w:line="560" w:lineRule="exact"/>
        <w:ind w:firstLine="3200" w:firstLineChars="1000"/>
        <w:jc w:val="both"/>
        <w:rPr>
          <w:rFonts w:hint="eastAsia" w:ascii="楷体_GB2312" w:hAnsi="楷体_GB2312" w:eastAsia="楷体_GB2312" w:cs="楷体_GB2312"/>
          <w:color w:val="000000"/>
          <w:kern w:val="0"/>
          <w:sz w:val="32"/>
          <w:szCs w:val="32"/>
          <w:highlight w:val="none"/>
          <w:lang w:eastAsia="zh-CN" w:bidi="en-US"/>
        </w:rPr>
      </w:pPr>
      <w:r>
        <w:rPr>
          <w:rFonts w:hint="eastAsia" w:ascii="楷体_GB2312" w:hAnsi="楷体_GB2312" w:eastAsia="楷体_GB2312" w:cs="楷体_GB2312"/>
          <w:color w:val="000000"/>
          <w:kern w:val="0"/>
          <w:sz w:val="32"/>
          <w:szCs w:val="32"/>
          <w:highlight w:val="none"/>
          <w:lang w:eastAsia="zh-CN" w:bidi="en-US"/>
        </w:rPr>
        <w:t>（</w:t>
      </w:r>
      <w:r>
        <w:rPr>
          <w:rFonts w:hint="eastAsia" w:ascii="楷体_GB2312" w:hAnsi="楷体_GB2312" w:eastAsia="楷体_GB2312" w:cs="楷体_GB2312"/>
          <w:color w:val="000000"/>
          <w:kern w:val="0"/>
          <w:sz w:val="32"/>
          <w:szCs w:val="32"/>
          <w:highlight w:val="none"/>
          <w:lang w:val="en-US" w:eastAsia="zh-CN" w:bidi="en-US"/>
        </w:rPr>
        <w:t>2024年度</w:t>
      </w:r>
      <w:r>
        <w:rPr>
          <w:rFonts w:hint="eastAsia" w:ascii="楷体_GB2312" w:hAnsi="楷体_GB2312" w:eastAsia="楷体_GB2312" w:cs="楷体_GB2312"/>
          <w:color w:val="000000"/>
          <w:kern w:val="0"/>
          <w:sz w:val="32"/>
          <w:szCs w:val="32"/>
          <w:highlight w:val="none"/>
          <w:lang w:eastAsia="zh-CN" w:bidi="en-US"/>
        </w:rPr>
        <w:t>）</w:t>
      </w:r>
    </w:p>
    <w:p>
      <w:pPr>
        <w:jc w:val="center"/>
        <w:rPr>
          <w:rFonts w:eastAsia="黑体"/>
          <w:color w:val="000000"/>
          <w:sz w:val="32"/>
          <w:szCs w:val="32"/>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南山区营利性服务业企业培育工作，鼓励企业扎根南山、做大做强，推动辖区推动服务业实现质的有效提升和量的合理增长，依据《南山区促进产业高质量发展专项资金管理办法》《南山区促进服务业高质量发展专项扶持措施》等文件规定，制定本操作规程。</w:t>
      </w:r>
    </w:p>
    <w:p>
      <w:pPr>
        <w:spacing w:line="600" w:lineRule="exact"/>
        <w:ind w:firstLine="640" w:firstLineChars="200"/>
        <w:outlineLvl w:val="0"/>
        <w:rPr>
          <w:rFonts w:hAnsi="仿宋" w:eastAsia="仿宋"/>
          <w:kern w:val="0"/>
          <w:sz w:val="32"/>
          <w:szCs w:val="32"/>
        </w:rPr>
      </w:pPr>
      <w:r>
        <w:rPr>
          <w:rFonts w:hint="eastAsia" w:hAnsi="黑体" w:eastAsia="黑体"/>
          <w:sz w:val="32"/>
          <w:szCs w:val="32"/>
        </w:rPr>
        <w:t>一、政策内容</w:t>
      </w:r>
    </w:p>
    <w:p>
      <w:pPr>
        <w:widowControl/>
        <w:spacing w:line="600" w:lineRule="exact"/>
        <w:ind w:firstLine="640" w:firstLineChars="200"/>
        <w:outlineLvl w:val="0"/>
        <w:rPr>
          <w:rFonts w:hint="eastAsia" w:hAnsi="黑体" w:eastAsia="黑体"/>
          <w:sz w:val="32"/>
          <w:szCs w:val="32"/>
        </w:rPr>
      </w:pPr>
      <w:r>
        <w:rPr>
          <w:rFonts w:hint="eastAsia" w:ascii="仿宋_GB2312" w:hAnsi="仿宋_GB2312" w:eastAsia="仿宋_GB2312" w:cs="仿宋_GB2312"/>
          <w:sz w:val="32"/>
          <w:szCs w:val="32"/>
          <w:lang w:val="en-US" w:eastAsia="zh-CN"/>
        </w:rPr>
        <w:t>对符合一定规模、增速条件的营利性服务业企业，分档给予最高1亿元奖励。</w:t>
      </w:r>
      <w:r>
        <w:rPr>
          <w:rFonts w:hint="eastAsia" w:hAnsi="黑体" w:eastAsia="黑体"/>
          <w:sz w:val="32"/>
          <w:szCs w:val="32"/>
        </w:rPr>
        <w:t xml:space="preserve">    </w:t>
      </w:r>
    </w:p>
    <w:p>
      <w:pPr>
        <w:widowControl/>
        <w:spacing w:line="600" w:lineRule="exact"/>
        <w:ind w:firstLine="640" w:firstLineChars="200"/>
        <w:outlineLvl w:val="0"/>
        <w:rPr>
          <w:rFonts w:eastAsia="黑体"/>
          <w:sz w:val="32"/>
          <w:szCs w:val="32"/>
        </w:rPr>
      </w:pPr>
      <w:r>
        <w:rPr>
          <w:rFonts w:hint="eastAsia" w:hAnsi="黑体" w:eastAsia="黑体"/>
          <w:sz w:val="32"/>
          <w:szCs w:val="32"/>
        </w:rPr>
        <w:t>二、资助方式</w:t>
      </w:r>
    </w:p>
    <w:p>
      <w:pPr>
        <w:widowControl/>
        <w:spacing w:line="600" w:lineRule="exact"/>
        <w:ind w:firstLine="537" w:firstLineChars="168"/>
        <w:rPr>
          <w:rFonts w:eastAsia="仿宋_GB2312"/>
          <w:sz w:val="32"/>
          <w:szCs w:val="32"/>
        </w:rPr>
      </w:pPr>
      <w:r>
        <w:rPr>
          <w:rFonts w:hint="eastAsia" w:eastAsia="仿宋_GB2312"/>
          <w:sz w:val="32"/>
          <w:szCs w:val="32"/>
        </w:rPr>
        <w:t>本项资助属于</w:t>
      </w:r>
      <w:r>
        <w:rPr>
          <w:rFonts w:hint="eastAsia" w:eastAsia="仿宋_GB2312"/>
          <w:sz w:val="32"/>
          <w:szCs w:val="32"/>
          <w:lang w:eastAsia="zh-CN"/>
        </w:rPr>
        <w:t>专项</w:t>
      </w:r>
      <w:r>
        <w:rPr>
          <w:rFonts w:hint="eastAsia" w:eastAsia="仿宋_GB2312"/>
          <w:sz w:val="32"/>
          <w:szCs w:val="32"/>
        </w:rPr>
        <w:t>类项目，资助资金的安排使用坚持公平、公开、公正的原则，实行自愿申报、科学决策和绩效评估的管理制度，采取无偿资助方式和事后补贴制，受资助项目无需验收。</w:t>
      </w:r>
    </w:p>
    <w:p>
      <w:pPr>
        <w:spacing w:line="560" w:lineRule="exact"/>
        <w:ind w:firstLine="640" w:firstLineChars="200"/>
        <w:outlineLvl w:val="0"/>
        <w:rPr>
          <w:rFonts w:ascii="仿宋_GB2312" w:eastAsia="仿宋_GB2312"/>
          <w:kern w:val="0"/>
          <w:sz w:val="32"/>
          <w:szCs w:val="32"/>
        </w:rPr>
      </w:pPr>
      <w:r>
        <w:rPr>
          <w:rFonts w:hint="eastAsia" w:hAnsi="黑体" w:eastAsia="黑体"/>
          <w:sz w:val="32"/>
          <w:szCs w:val="32"/>
        </w:rPr>
        <w:t>三、资助标准</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黑体" w:eastAsia="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黑体" w:eastAsia="仿宋_GB2312"/>
          <w:b w:val="0"/>
          <w:bCs w:val="0"/>
          <w:sz w:val="32"/>
          <w:szCs w:val="32"/>
          <w:highlight w:val="none"/>
          <w:lang w:val="en-US" w:eastAsia="zh-CN"/>
        </w:rPr>
        <w:t>对于</w:t>
      </w:r>
      <w:r>
        <w:rPr>
          <w:rFonts w:hint="eastAsia" w:ascii="仿宋_GB2312" w:hAnsi="黑体" w:eastAsia="仿宋_GB2312"/>
          <w:b/>
          <w:bCs/>
          <w:sz w:val="32"/>
          <w:szCs w:val="32"/>
          <w:highlight w:val="none"/>
          <w:lang w:val="en-US" w:eastAsia="zh-CN"/>
        </w:rPr>
        <w:t>上半年或全年</w:t>
      </w:r>
      <w:r>
        <w:rPr>
          <w:rFonts w:hint="eastAsia" w:ascii="仿宋_GB2312" w:hAnsi="黑体" w:eastAsia="仿宋_GB2312"/>
          <w:b w:val="0"/>
          <w:bCs w:val="0"/>
          <w:sz w:val="32"/>
          <w:szCs w:val="32"/>
          <w:highlight w:val="none"/>
          <w:lang w:val="en-US" w:eastAsia="zh-CN"/>
        </w:rPr>
        <w:t>快报营收同比增速高于10%且不高于20%、高于20%的营利性服务业规上主体，对上半年或全年营收超10%的增量部分给予奖励，奖励比例分别为0.1%、0.15%。</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黑体" w:eastAsia="仿宋_GB2312"/>
          <w:b w:val="0"/>
          <w:bCs w:val="0"/>
          <w:sz w:val="32"/>
          <w:szCs w:val="32"/>
          <w:highlight w:val="none"/>
          <w:lang w:val="en-US" w:eastAsia="zh-CN"/>
        </w:rPr>
      </w:pPr>
      <w:r>
        <w:rPr>
          <w:rFonts w:hint="eastAsia" w:ascii="仿宋_GB2312" w:hAnsi="黑体" w:eastAsia="仿宋_GB2312"/>
          <w:b w:val="0"/>
          <w:bCs w:val="0"/>
          <w:sz w:val="32"/>
          <w:szCs w:val="32"/>
          <w:highlight w:val="none"/>
          <w:lang w:val="en-US" w:eastAsia="zh-CN"/>
        </w:rPr>
        <w:t>对于上半年及全年营收同比增速大于10%的营利性服务业规上主体，全年按1.2倍给予奖励，并扣除上半年已获得奖励后发放。每家主体每年最高可获得此项目奖励1亿元。计算方式如下：</w:t>
      </w:r>
    </w:p>
    <w:tbl>
      <w:tblPr>
        <w:tblStyle w:val="10"/>
        <w:tblW w:w="8384" w:type="dxa"/>
        <w:jc w:val="center"/>
        <w:tblLayout w:type="fixed"/>
        <w:tblCellMar>
          <w:top w:w="0" w:type="dxa"/>
          <w:left w:w="0" w:type="dxa"/>
          <w:bottom w:w="0" w:type="dxa"/>
          <w:right w:w="0" w:type="dxa"/>
        </w:tblCellMar>
      </w:tblPr>
      <w:tblGrid>
        <w:gridCol w:w="751"/>
        <w:gridCol w:w="4188"/>
        <w:gridCol w:w="3445"/>
      </w:tblGrid>
      <w:tr>
        <w:tblPrEx>
          <w:tblCellMar>
            <w:top w:w="0" w:type="dxa"/>
            <w:left w:w="0" w:type="dxa"/>
            <w:bottom w:w="0" w:type="dxa"/>
            <w:right w:w="0" w:type="dxa"/>
          </w:tblCellMar>
        </w:tblPrEx>
        <w:trPr>
          <w:trHeight w:val="422"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5" w:type="dxa"/>
              <w:left w:w="15" w:type="dxa"/>
              <w:right w:w="15" w:type="dxa"/>
            </w:tcMar>
            <w:vAlign w:val="center"/>
          </w:tcPr>
          <w:p>
            <w:pPr>
              <w:widowControl/>
              <w:jc w:val="center"/>
              <w:textAlignment w:val="center"/>
              <w:rPr>
                <w:rFonts w:hint="eastAsia" w:ascii="宋体" w:hAnsi="宋体" w:eastAsia="宋体" w:cs="宋体"/>
                <w:b/>
                <w:color w:val="000000"/>
                <w:szCs w:val="21"/>
                <w:highlight w:val="none"/>
                <w:lang w:val="en-US" w:eastAsia="zh-CN"/>
              </w:rPr>
            </w:pPr>
            <w:r>
              <w:rPr>
                <w:rFonts w:hint="eastAsia" w:ascii="宋体" w:hAnsi="宋体" w:cs="宋体"/>
                <w:b/>
                <w:color w:val="000000"/>
                <w:szCs w:val="21"/>
                <w:highlight w:val="none"/>
                <w:lang w:val="en-US" w:eastAsia="zh-CN"/>
              </w:rPr>
              <w:t>时间</w:t>
            </w:r>
          </w:p>
        </w:tc>
        <w:tc>
          <w:tcPr>
            <w:tcW w:w="41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5" w:type="dxa"/>
              <w:left w:w="15" w:type="dxa"/>
              <w:right w:w="15" w:type="dxa"/>
            </w:tcMar>
            <w:vAlign w:val="center"/>
          </w:tcPr>
          <w:p>
            <w:pPr>
              <w:widowControl/>
              <w:jc w:val="center"/>
              <w:textAlignment w:val="center"/>
              <w:rPr>
                <w:rFonts w:hint="default"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奖励条件</w:t>
            </w:r>
          </w:p>
        </w:tc>
        <w:tc>
          <w:tcPr>
            <w:tcW w:w="3445"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tcMar>
              <w:top w:w="15" w:type="dxa"/>
              <w:left w:w="15" w:type="dxa"/>
              <w:right w:w="15" w:type="dxa"/>
            </w:tcMar>
            <w:vAlign w:val="center"/>
          </w:tcPr>
          <w:p>
            <w:pPr>
              <w:widowControl/>
              <w:jc w:val="center"/>
              <w:textAlignment w:val="center"/>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lang w:eastAsia="zh-CN"/>
              </w:rPr>
              <w:t>资助金额</w:t>
            </w:r>
          </w:p>
        </w:tc>
      </w:tr>
      <w:tr>
        <w:tblPrEx>
          <w:tblCellMar>
            <w:top w:w="0" w:type="dxa"/>
            <w:left w:w="0" w:type="dxa"/>
            <w:bottom w:w="0" w:type="dxa"/>
            <w:right w:w="0" w:type="dxa"/>
          </w:tblCellMar>
        </w:tblPrEx>
        <w:trPr>
          <w:trHeight w:val="480" w:hRule="atLeast"/>
          <w:jc w:val="center"/>
        </w:trPr>
        <w:tc>
          <w:tcPr>
            <w:tcW w:w="751" w:type="dxa"/>
            <w:vMerge w:val="restart"/>
            <w:tcBorders>
              <w:top w:val="single" w:color="000000" w:sz="4" w:space="0"/>
              <w:left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w:t>
            </w: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10%&lt;上半年营收同比增速≤20%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0.1%*[2024年上半年营收-2023年上半年营收*(1+10%)]</w:t>
            </w:r>
          </w:p>
        </w:tc>
      </w:tr>
      <w:tr>
        <w:tblPrEx>
          <w:tblCellMar>
            <w:top w:w="0" w:type="dxa"/>
            <w:left w:w="0" w:type="dxa"/>
            <w:bottom w:w="0" w:type="dxa"/>
            <w:right w:w="0" w:type="dxa"/>
          </w:tblCellMar>
        </w:tblPrEx>
        <w:trPr>
          <w:trHeight w:val="480" w:hRule="atLeast"/>
          <w:jc w:val="center"/>
        </w:trPr>
        <w:tc>
          <w:tcPr>
            <w:tcW w:w="751" w:type="dxa"/>
            <w:vMerge w:val="continue"/>
            <w:tcBorders>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0.15%*[2024年上半年营收-2023年上半年营收*(1+10%)]</w:t>
            </w:r>
          </w:p>
        </w:tc>
      </w:tr>
      <w:tr>
        <w:tblPrEx>
          <w:tblCellMar>
            <w:top w:w="0" w:type="dxa"/>
            <w:left w:w="0" w:type="dxa"/>
            <w:bottom w:w="0" w:type="dxa"/>
            <w:right w:w="0" w:type="dxa"/>
          </w:tblCellMar>
        </w:tblPrEx>
        <w:trPr>
          <w:trHeight w:val="480" w:hRule="atLeast"/>
          <w:jc w:val="center"/>
        </w:trPr>
        <w:tc>
          <w:tcPr>
            <w:tcW w:w="751" w:type="dxa"/>
            <w:vMerge w:val="restart"/>
            <w:tcBorders>
              <w:top w:val="single" w:color="000000" w:sz="4" w:space="0"/>
              <w:left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全年</w:t>
            </w: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上半年营收同比增速≤10%</w:t>
            </w:r>
            <w:r>
              <w:rPr>
                <w:rFonts w:hint="eastAsia" w:ascii="宋体" w:hAnsi="宋体" w:cs="宋体"/>
                <w:b/>
                <w:bCs/>
                <w:color w:val="000000"/>
                <w:kern w:val="0"/>
                <w:szCs w:val="21"/>
                <w:highlight w:val="none"/>
                <w:lang w:val="en-US" w:eastAsia="zh-CN" w:bidi="ar"/>
              </w:rPr>
              <w:t>且</w:t>
            </w:r>
            <w:r>
              <w:rPr>
                <w:rFonts w:hint="eastAsia" w:ascii="宋体" w:hAnsi="宋体" w:cs="宋体"/>
                <w:b w:val="0"/>
                <w:bCs w:val="0"/>
                <w:color w:val="000000"/>
                <w:kern w:val="0"/>
                <w:szCs w:val="21"/>
                <w:highlight w:val="none"/>
                <w:lang w:val="en-US" w:eastAsia="zh-CN" w:bidi="ar"/>
              </w:rPr>
              <w:t>1</w:t>
            </w:r>
            <w:r>
              <w:rPr>
                <w:rFonts w:hint="eastAsia" w:ascii="宋体" w:hAnsi="宋体" w:cs="宋体"/>
                <w:color w:val="000000"/>
                <w:kern w:val="0"/>
                <w:szCs w:val="21"/>
                <w:highlight w:val="none"/>
                <w:lang w:val="en-US" w:eastAsia="zh-CN" w:bidi="ar"/>
              </w:rPr>
              <w:t>0%&lt;全年营收同比增速≤20%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0.1%*[2024年全年营收-2023年全年营收*(1+10%)]</w:t>
            </w:r>
          </w:p>
        </w:tc>
      </w:tr>
      <w:tr>
        <w:tblPrEx>
          <w:tblCellMar>
            <w:top w:w="0" w:type="dxa"/>
            <w:left w:w="0" w:type="dxa"/>
            <w:bottom w:w="0" w:type="dxa"/>
            <w:right w:w="0" w:type="dxa"/>
          </w:tblCellMar>
        </w:tblPrEx>
        <w:trPr>
          <w:trHeight w:val="480" w:hRule="atLeast"/>
          <w:jc w:val="center"/>
        </w:trPr>
        <w:tc>
          <w:tcPr>
            <w:tcW w:w="751"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上半年营收同比增速≤10%</w:t>
            </w:r>
            <w:r>
              <w:rPr>
                <w:rFonts w:hint="eastAsia" w:ascii="宋体" w:hAnsi="宋体" w:cs="宋体"/>
                <w:b/>
                <w:bCs/>
                <w:color w:val="000000"/>
                <w:kern w:val="0"/>
                <w:szCs w:val="21"/>
                <w:highlight w:val="none"/>
                <w:lang w:val="en-US" w:eastAsia="zh-CN" w:bidi="ar"/>
              </w:rPr>
              <w:t>且</w:t>
            </w:r>
            <w:r>
              <w:rPr>
                <w:rFonts w:hint="eastAsia" w:ascii="宋体" w:hAnsi="宋体" w:cs="宋体"/>
                <w:b w:val="0"/>
                <w:bCs w:val="0"/>
                <w:color w:val="000000"/>
                <w:kern w:val="0"/>
                <w:szCs w:val="21"/>
                <w:highlight w:val="none"/>
                <w:lang w:val="en-US" w:eastAsia="zh-CN" w:bidi="ar"/>
              </w:rPr>
              <w:t>全</w:t>
            </w:r>
            <w:r>
              <w:rPr>
                <w:rFonts w:hint="eastAsia" w:ascii="宋体" w:hAnsi="宋体" w:cs="宋体"/>
                <w:color w:val="000000"/>
                <w:kern w:val="0"/>
                <w:szCs w:val="21"/>
                <w:highlight w:val="none"/>
                <w:lang w:val="en-US" w:eastAsia="zh-CN" w:bidi="ar"/>
              </w:rPr>
              <w:t>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0.15%*[2024年全年营收-2023年全年营收*(1+10%)]</w:t>
            </w:r>
          </w:p>
        </w:tc>
      </w:tr>
      <w:tr>
        <w:tblPrEx>
          <w:tblCellMar>
            <w:top w:w="0" w:type="dxa"/>
            <w:left w:w="0" w:type="dxa"/>
            <w:bottom w:w="0" w:type="dxa"/>
            <w:right w:w="0" w:type="dxa"/>
          </w:tblCellMar>
        </w:tblPrEx>
        <w:trPr>
          <w:trHeight w:val="480" w:hRule="atLeast"/>
          <w:jc w:val="center"/>
        </w:trPr>
        <w:tc>
          <w:tcPr>
            <w:tcW w:w="751"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上半年营收同比增速&gt;10%</w:t>
            </w:r>
            <w:r>
              <w:rPr>
                <w:rFonts w:hint="eastAsia" w:ascii="宋体" w:hAnsi="宋体" w:cs="宋体"/>
                <w:b/>
                <w:bCs/>
                <w:color w:val="000000"/>
                <w:kern w:val="0"/>
                <w:szCs w:val="21"/>
                <w:highlight w:val="none"/>
                <w:lang w:val="en-US" w:eastAsia="zh-CN" w:bidi="ar"/>
              </w:rPr>
              <w:t>且</w:t>
            </w:r>
            <w:r>
              <w:rPr>
                <w:rFonts w:hint="eastAsia" w:ascii="宋体" w:hAnsi="宋体" w:cs="宋体"/>
                <w:b w:val="0"/>
                <w:bCs w:val="0"/>
                <w:color w:val="000000"/>
                <w:kern w:val="0"/>
                <w:szCs w:val="21"/>
                <w:highlight w:val="none"/>
                <w:lang w:val="en-US" w:eastAsia="zh-CN" w:bidi="ar"/>
              </w:rPr>
              <w:t>1</w:t>
            </w:r>
            <w:r>
              <w:rPr>
                <w:rFonts w:hint="eastAsia" w:ascii="宋体" w:hAnsi="宋体" w:cs="宋体"/>
                <w:color w:val="000000"/>
                <w:kern w:val="0"/>
                <w:szCs w:val="21"/>
                <w:highlight w:val="none"/>
                <w:lang w:val="en-US" w:eastAsia="zh-CN" w:bidi="ar"/>
              </w:rPr>
              <w:t>0%&lt;全年营收同比增速≤20%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0.1%*[2024年全年营收-2023年全年营收*(1+10%)]</w:t>
            </w:r>
            <w:r>
              <w:rPr>
                <w:rFonts w:hint="eastAsia" w:ascii="宋体" w:hAnsi="宋体" w:cs="宋体"/>
                <w:b/>
                <w:bCs/>
                <w:color w:val="000000"/>
                <w:kern w:val="0"/>
                <w:szCs w:val="21"/>
                <w:highlight w:val="none"/>
                <w:lang w:val="en-US" w:eastAsia="zh-CN" w:bidi="ar"/>
              </w:rPr>
              <w:t>*1.2</w:t>
            </w:r>
            <w:r>
              <w:rPr>
                <w:rFonts w:hint="eastAsia" w:ascii="宋体" w:hAnsi="宋体" w:cs="宋体"/>
                <w:b w:val="0"/>
                <w:bCs w:val="0"/>
                <w:color w:val="000000"/>
                <w:kern w:val="0"/>
                <w:szCs w:val="21"/>
                <w:highlight w:val="none"/>
                <w:lang w:val="en-US" w:eastAsia="zh-CN" w:bidi="ar"/>
              </w:rPr>
              <w:t>-上半年已获奖励</w:t>
            </w:r>
          </w:p>
        </w:tc>
      </w:tr>
      <w:tr>
        <w:tblPrEx>
          <w:tblCellMar>
            <w:top w:w="0" w:type="dxa"/>
            <w:left w:w="0" w:type="dxa"/>
            <w:bottom w:w="0" w:type="dxa"/>
            <w:right w:w="0" w:type="dxa"/>
          </w:tblCellMar>
        </w:tblPrEx>
        <w:trPr>
          <w:trHeight w:val="480" w:hRule="atLeast"/>
          <w:jc w:val="center"/>
        </w:trPr>
        <w:tc>
          <w:tcPr>
            <w:tcW w:w="751" w:type="dxa"/>
            <w:vMerge w:val="continue"/>
            <w:tcBorders>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上半年营收同比增速&gt;10%</w:t>
            </w:r>
            <w:r>
              <w:rPr>
                <w:rFonts w:hint="eastAsia" w:ascii="宋体" w:hAnsi="宋体" w:cs="宋体"/>
                <w:b/>
                <w:bCs/>
                <w:color w:val="000000"/>
                <w:kern w:val="0"/>
                <w:szCs w:val="21"/>
                <w:highlight w:val="none"/>
                <w:lang w:val="en-US" w:eastAsia="zh-CN" w:bidi="ar"/>
              </w:rPr>
              <w:t>且</w:t>
            </w:r>
            <w:r>
              <w:rPr>
                <w:rFonts w:hint="eastAsia" w:ascii="宋体" w:hAnsi="宋体" w:cs="宋体"/>
                <w:b w:val="0"/>
                <w:bCs w:val="0"/>
                <w:color w:val="000000"/>
                <w:kern w:val="0"/>
                <w:szCs w:val="21"/>
                <w:highlight w:val="none"/>
                <w:lang w:val="en-US" w:eastAsia="zh-CN" w:bidi="ar"/>
              </w:rPr>
              <w:t>全</w:t>
            </w:r>
            <w:r>
              <w:rPr>
                <w:rFonts w:hint="eastAsia" w:ascii="宋体" w:hAnsi="宋体" w:cs="宋体"/>
                <w:color w:val="000000"/>
                <w:kern w:val="0"/>
                <w:szCs w:val="21"/>
                <w:highlight w:val="none"/>
                <w:lang w:val="en-US" w:eastAsia="zh-CN" w:bidi="ar"/>
              </w:rPr>
              <w:t>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0.15%*[2024年全年营收-2023年全年营收*(1+10%)]</w:t>
            </w:r>
            <w:r>
              <w:rPr>
                <w:rFonts w:hint="eastAsia" w:ascii="宋体" w:hAnsi="宋体" w:cs="宋体"/>
                <w:b/>
                <w:bCs/>
                <w:color w:val="000000"/>
                <w:kern w:val="0"/>
                <w:szCs w:val="21"/>
                <w:highlight w:val="none"/>
                <w:lang w:val="en-US" w:eastAsia="zh-CN" w:bidi="ar"/>
              </w:rPr>
              <w:t>*1.2</w:t>
            </w:r>
            <w:r>
              <w:rPr>
                <w:rFonts w:hint="eastAsia" w:ascii="宋体" w:hAnsi="宋体" w:cs="宋体"/>
                <w:b w:val="0"/>
                <w:bCs w:val="0"/>
                <w:color w:val="000000"/>
                <w:kern w:val="0"/>
                <w:szCs w:val="21"/>
                <w:highlight w:val="none"/>
                <w:lang w:val="en-US" w:eastAsia="zh-CN" w:bidi="ar"/>
              </w:rPr>
              <w:t>-上半年已获奖励</w:t>
            </w:r>
          </w:p>
        </w:tc>
      </w:tr>
    </w:tbl>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lang w:val="en-US" w:eastAsia="zh-CN"/>
        </w:rPr>
        <w:t>（二）对于</w:t>
      </w:r>
      <w:r>
        <w:rPr>
          <w:rFonts w:hint="default" w:ascii="仿宋_GB2312" w:hAnsi="仿宋_GB2312" w:eastAsia="仿宋_GB2312" w:cs="仿宋_GB2312"/>
          <w:b w:val="0"/>
          <w:bCs w:val="0"/>
          <w:sz w:val="32"/>
          <w:szCs w:val="32"/>
          <w:lang w:val="en-US" w:eastAsia="zh-CN"/>
        </w:rPr>
        <w:t>在“统计直报系统”</w:t>
      </w:r>
      <w:r>
        <w:rPr>
          <w:rFonts w:hint="eastAsia" w:ascii="仿宋_GB2312" w:hAnsi="仿宋_GB2312" w:eastAsia="仿宋_GB2312" w:cs="仿宋_GB2312"/>
          <w:b w:val="0"/>
          <w:bCs w:val="0"/>
          <w:sz w:val="32"/>
          <w:szCs w:val="32"/>
          <w:lang w:val="en-US" w:eastAsia="zh-CN"/>
        </w:rPr>
        <w:t>去年同期</w:t>
      </w:r>
      <w:r>
        <w:rPr>
          <w:rFonts w:hint="default" w:ascii="仿宋_GB2312" w:hAnsi="仿宋_GB2312" w:eastAsia="仿宋_GB2312" w:cs="仿宋_GB2312"/>
          <w:b w:val="0"/>
          <w:bCs w:val="0"/>
          <w:sz w:val="32"/>
          <w:szCs w:val="32"/>
          <w:lang w:val="en-US" w:eastAsia="zh-CN"/>
        </w:rPr>
        <w:t>营收</w:t>
      </w:r>
      <w:r>
        <w:rPr>
          <w:rFonts w:hint="eastAsia" w:ascii="仿宋_GB2312" w:hAnsi="仿宋_GB2312" w:eastAsia="仿宋_GB2312" w:cs="仿宋_GB2312"/>
          <w:b w:val="0"/>
          <w:bCs w:val="0"/>
          <w:sz w:val="32"/>
          <w:szCs w:val="32"/>
          <w:lang w:val="en-US" w:eastAsia="zh-CN"/>
        </w:rPr>
        <w:t>为0的主体</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视为满足“同比增速高于20%”。</w:t>
      </w:r>
    </w:p>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lang w:val="en-US" w:eastAsia="zh-CN"/>
        </w:rPr>
        <w:t>（三）若资助金额计算结果为负数，</w:t>
      </w:r>
      <w:r>
        <w:rPr>
          <w:rFonts w:hint="eastAsia" w:ascii="仿宋_GB2312" w:hAnsi="仿宋_GB2312" w:eastAsia="仿宋_GB2312" w:cs="仿宋_GB2312"/>
          <w:b w:val="0"/>
          <w:bCs w:val="0"/>
          <w:sz w:val="32"/>
          <w:szCs w:val="32"/>
          <w:highlight w:val="none"/>
        </w:rPr>
        <w:t>该项资助金额按零计算。</w:t>
      </w:r>
    </w:p>
    <w:p>
      <w:pPr>
        <w:numPr>
          <w:ilvl w:val="0"/>
          <w:numId w:val="1"/>
        </w:numPr>
        <w:spacing w:line="560" w:lineRule="exact"/>
        <w:ind w:left="0" w:leftChars="0" w:firstLine="628" w:firstLineChars="0"/>
        <w:rPr>
          <w:rFonts w:hint="eastAsia" w:ascii="仿宋_GB2312" w:hAnsi="黑体" w:eastAsia="仿宋_GB2312"/>
          <w:sz w:val="32"/>
          <w:szCs w:val="32"/>
          <w:lang w:eastAsia="zh-CN"/>
        </w:rPr>
      </w:pPr>
      <w:r>
        <w:rPr>
          <w:rFonts w:hint="eastAsia" w:ascii="仿宋_GB2312" w:hAnsi="黑体" w:eastAsia="仿宋_GB2312"/>
          <w:sz w:val="32"/>
          <w:szCs w:val="32"/>
          <w:lang w:eastAsia="zh-CN"/>
        </w:rPr>
        <w:t>政策实施过程中，对属于同一集团下的主体进行合并申报受理。</w:t>
      </w:r>
    </w:p>
    <w:p>
      <w:pPr>
        <w:numPr>
          <w:ilvl w:val="0"/>
          <w:numId w:val="1"/>
        </w:numPr>
        <w:spacing w:line="560" w:lineRule="exact"/>
        <w:ind w:left="0" w:leftChars="0" w:firstLine="628" w:firstLineChars="0"/>
        <w:rPr>
          <w:rFonts w:hint="eastAsia" w:ascii="仿宋_GB2312" w:hAnsi="黑体" w:eastAsia="仿宋_GB2312"/>
          <w:sz w:val="32"/>
          <w:szCs w:val="32"/>
          <w:lang w:eastAsia="zh-CN"/>
        </w:rPr>
      </w:pPr>
      <w:r>
        <w:rPr>
          <w:rFonts w:hint="eastAsia" w:ascii="仿宋_GB2312" w:hAnsi="黑体" w:eastAsia="仿宋_GB2312"/>
          <w:sz w:val="32"/>
          <w:szCs w:val="32"/>
          <w:lang w:eastAsia="zh-CN"/>
        </w:rPr>
        <w:t>如当年1-12月营收低于1-11月营收，则按1-12月营收计算。</w:t>
      </w:r>
    </w:p>
    <w:p>
      <w:pPr>
        <w:numPr>
          <w:ilvl w:val="0"/>
          <w:numId w:val="1"/>
        </w:numPr>
        <w:spacing w:line="560" w:lineRule="exact"/>
        <w:ind w:left="0" w:leftChars="0" w:firstLine="628" w:firstLineChars="0"/>
        <w:rPr>
          <w:rFonts w:hint="eastAsia" w:ascii="仿宋_GB2312" w:hAnsi="黑体" w:eastAsia="仿宋_GB2312"/>
          <w:sz w:val="32"/>
          <w:szCs w:val="32"/>
          <w:lang w:eastAsia="zh-CN"/>
        </w:rPr>
      </w:pPr>
      <w:r>
        <w:rPr>
          <w:rFonts w:hint="eastAsia" w:ascii="仿宋_GB2312" w:hAnsi="黑体" w:eastAsia="仿宋_GB2312"/>
          <w:sz w:val="32"/>
          <w:szCs w:val="32"/>
          <w:lang w:eastAsia="zh-CN"/>
        </w:rPr>
        <w:t>满足资助条件但资助金额不满</w:t>
      </w:r>
      <w:r>
        <w:rPr>
          <w:rFonts w:hint="eastAsia" w:ascii="仿宋_GB2312" w:hAnsi="黑体" w:eastAsia="仿宋_GB2312"/>
          <w:sz w:val="32"/>
          <w:szCs w:val="32"/>
          <w:lang w:val="en-US" w:eastAsia="zh-CN"/>
        </w:rPr>
        <w:t>5</w:t>
      </w:r>
      <w:r>
        <w:rPr>
          <w:rFonts w:hint="eastAsia" w:ascii="仿宋_GB2312" w:hAnsi="黑体" w:eastAsia="仿宋_GB2312"/>
          <w:sz w:val="32"/>
          <w:szCs w:val="32"/>
          <w:lang w:eastAsia="zh-CN"/>
        </w:rPr>
        <w:t>000元的企业，</w:t>
      </w:r>
      <w:r>
        <w:rPr>
          <w:rFonts w:hint="eastAsia" w:ascii="仿宋_GB2312" w:hAnsi="黑体" w:eastAsia="仿宋_GB2312"/>
          <w:sz w:val="32"/>
          <w:szCs w:val="32"/>
          <w:lang w:val="en-US" w:eastAsia="zh-CN"/>
        </w:rPr>
        <w:t>不予</w:t>
      </w:r>
      <w:r>
        <w:rPr>
          <w:rFonts w:hint="eastAsia" w:ascii="仿宋_GB2312" w:hAnsi="黑体" w:eastAsia="仿宋_GB2312"/>
          <w:sz w:val="32"/>
          <w:szCs w:val="32"/>
        </w:rPr>
        <w:t>资助</w:t>
      </w:r>
      <w:r>
        <w:rPr>
          <w:rFonts w:hint="eastAsia" w:ascii="仿宋_GB2312" w:hAnsi="黑体" w:eastAsia="仿宋_GB2312"/>
          <w:sz w:val="32"/>
          <w:szCs w:val="32"/>
          <w:lang w:eastAsia="zh-CN"/>
        </w:rPr>
        <w:t>。</w:t>
      </w:r>
    </w:p>
    <w:p>
      <w:pPr>
        <w:numPr>
          <w:ilvl w:val="0"/>
          <w:numId w:val="0"/>
        </w:numPr>
        <w:spacing w:line="560" w:lineRule="exact"/>
        <w:ind w:firstLine="640" w:firstLineChars="200"/>
        <w:rPr>
          <w:rFonts w:hint="eastAsia" w:ascii="仿宋_GB2312" w:hAnsi="黑体" w:eastAsia="仿宋_GB2312"/>
          <w:b w:val="0"/>
          <w:bCs w:val="0"/>
          <w:sz w:val="32"/>
          <w:szCs w:val="32"/>
          <w:lang w:val="en-US" w:eastAsia="zh-CN"/>
        </w:rPr>
      </w:pPr>
      <w:r>
        <w:rPr>
          <w:rFonts w:hint="eastAsia" w:ascii="仿宋_GB2312" w:hAnsi="黑体" w:eastAsia="仿宋_GB2312"/>
          <w:b w:val="0"/>
          <w:bCs w:val="0"/>
          <w:sz w:val="32"/>
          <w:szCs w:val="32"/>
          <w:lang w:val="en-US" w:eastAsia="zh-CN"/>
        </w:rPr>
        <w:t>（七）本项目实行总量控制。</w:t>
      </w:r>
    </w:p>
    <w:p>
      <w:pPr>
        <w:numPr>
          <w:ilvl w:val="0"/>
          <w:numId w:val="0"/>
        </w:numPr>
        <w:spacing w:line="560" w:lineRule="exact"/>
        <w:ind w:firstLine="640" w:firstLineChars="200"/>
        <w:rPr>
          <w:rFonts w:hint="eastAsia" w:eastAsia="仿宋_GB2312"/>
          <w:lang w:val="en-US" w:eastAsia="zh-CN"/>
        </w:rPr>
      </w:pPr>
      <w:r>
        <w:rPr>
          <w:rFonts w:hint="eastAsia" w:ascii="仿宋_GB2312" w:hAnsi="黑体" w:eastAsia="仿宋_GB2312"/>
          <w:b w:val="0"/>
          <w:bCs w:val="0"/>
          <w:sz w:val="32"/>
          <w:szCs w:val="32"/>
          <w:lang w:val="en-US" w:eastAsia="zh-CN"/>
        </w:rPr>
        <w:t>（八）本项目所提到的“上半年”均指1-5月，下半年均指6-11月，“</w:t>
      </w:r>
      <w:r>
        <w:rPr>
          <w:rFonts w:hint="eastAsia" w:ascii="仿宋_GB2312" w:hAnsi="仿宋_GB2312" w:eastAsia="仿宋_GB2312" w:cs="仿宋_GB2312"/>
          <w:sz w:val="32"/>
          <w:szCs w:val="32"/>
        </w:rPr>
        <w:t>全年</w:t>
      </w:r>
      <w:r>
        <w:rPr>
          <w:rFonts w:hint="eastAsia" w:ascii="仿宋_GB2312" w:hAnsi="黑体" w:eastAsia="仿宋_GB2312"/>
          <w:b w:val="0"/>
          <w:bCs w:val="0"/>
          <w:sz w:val="32"/>
          <w:szCs w:val="32"/>
          <w:lang w:val="en-US" w:eastAsia="zh-CN"/>
        </w:rPr>
        <w:t>”均指1-11月</w:t>
      </w:r>
      <w:r>
        <w:rPr>
          <w:rFonts w:hint="eastAsia" w:ascii="仿宋_GB2312" w:hAnsi="仿宋_GB2312" w:eastAsia="仿宋_GB2312" w:cs="仿宋_GB2312"/>
          <w:b w:val="0"/>
          <w:bCs w:val="0"/>
          <w:sz w:val="32"/>
          <w:szCs w:val="32"/>
          <w:lang w:eastAsia="zh-CN"/>
        </w:rPr>
        <w:t>。</w:t>
      </w:r>
    </w:p>
    <w:p>
      <w:pPr>
        <w:widowControl/>
        <w:spacing w:line="600" w:lineRule="exact"/>
        <w:ind w:firstLine="537" w:firstLineChars="168"/>
        <w:outlineLvl w:val="0"/>
        <w:rPr>
          <w:rFonts w:hAnsi="黑体" w:eastAsia="黑体"/>
          <w:sz w:val="32"/>
          <w:szCs w:val="32"/>
        </w:rPr>
      </w:pPr>
      <w:r>
        <w:rPr>
          <w:rFonts w:hint="eastAsia" w:hAnsi="黑体" w:eastAsia="黑体"/>
          <w:sz w:val="32"/>
          <w:szCs w:val="32"/>
        </w:rPr>
        <w:t>四、申请条件</w:t>
      </w:r>
    </w:p>
    <w:p>
      <w:pPr>
        <w:widowControl/>
        <w:spacing w:line="600" w:lineRule="exact"/>
        <w:ind w:firstLine="537" w:firstLineChars="168"/>
        <w:rPr>
          <w:rFonts w:hAnsi="仿宋" w:eastAsia="仿宋"/>
          <w:bCs/>
          <w:color w:val="000000"/>
          <w:sz w:val="32"/>
          <w:szCs w:val="32"/>
        </w:rPr>
      </w:pPr>
      <w:r>
        <w:rPr>
          <w:rFonts w:hint="eastAsia" w:hAnsi="仿宋" w:eastAsia="仿宋"/>
          <w:bCs/>
          <w:color w:val="000000"/>
          <w:sz w:val="32"/>
          <w:szCs w:val="32"/>
          <w:lang w:eastAsia="zh-CN"/>
        </w:rPr>
        <w:t>（一）</w:t>
      </w:r>
      <w:r>
        <w:rPr>
          <w:rFonts w:hint="eastAsia" w:hAnsi="仿宋" w:eastAsia="仿宋"/>
          <w:bCs/>
          <w:color w:val="000000"/>
          <w:sz w:val="32"/>
          <w:szCs w:val="32"/>
        </w:rPr>
        <w:t>申请本项资金资助的机构应符合以下基本条件：</w:t>
      </w:r>
    </w:p>
    <w:p>
      <w:pPr>
        <w:widowControl/>
        <w:spacing w:line="60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1、统计关系在南山区的规上营利性服务业主体；</w:t>
      </w:r>
    </w:p>
    <w:p>
      <w:pPr>
        <w:widowControl/>
        <w:spacing w:line="60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2、履行统计数据申报义务、守法经营、诚实守信、有规范的财务管理制度；</w:t>
      </w:r>
    </w:p>
    <w:p>
      <w:pPr>
        <w:pStyle w:val="2"/>
        <w:keepNext w:val="0"/>
        <w:keepLines w:val="0"/>
        <w:spacing w:line="560"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3、应积极配合区委、区政府相关工作。</w:t>
      </w:r>
    </w:p>
    <w:p>
      <w:pPr>
        <w:pStyle w:val="2"/>
        <w:keepNext w:val="0"/>
        <w:keepLines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adjustRightInd w:val="0"/>
        <w:snapToGrid w:val="0"/>
        <w:spacing w:line="560" w:lineRule="exact"/>
        <w:ind w:firstLine="640" w:firstLineChars="200"/>
        <w:outlineLvl w:val="9"/>
        <w:rPr>
          <w:rFonts w:ascii="Times New Roman" w:hAnsi="Times New Roman" w:eastAsia="仿宋_GB2312" w:cs="Times New Roman"/>
          <w:sz w:val="32"/>
          <w:szCs w:val="32"/>
        </w:rPr>
      </w:pPr>
      <w:r>
        <w:rPr>
          <w:rFonts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、提出资助申请后，申报主体在地统计关系发生变化，不再符合申报条件的。</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登录“i南山企业服务综合平台”</w:t>
      </w:r>
      <w:r>
        <w:rPr>
          <w:rFonts w:hint="eastAsia" w:ascii="仿宋_GB2312" w:hAnsi="Times New Roman" w:eastAsia="仿宋_GB2312" w:cs="Times New Roman"/>
          <w:sz w:val="32"/>
          <w:szCs w:val="32"/>
          <w:highlight w:val="none"/>
          <w:lang w:eastAsia="zh-CN"/>
        </w:rPr>
        <w:t>，在线填写《南山区促进产业高质量发展专项资金——区工业和信息化局分项资金</w:t>
      </w:r>
      <w:r>
        <w:rPr>
          <w:rFonts w:hint="eastAsia" w:ascii="仿宋_GB2312" w:eastAsia="仿宋_GB2312" w:cs="Times New Roman"/>
          <w:sz w:val="32"/>
          <w:szCs w:val="32"/>
          <w:highlight w:val="none"/>
          <w:lang w:val="en-US" w:eastAsia="zh-CN"/>
        </w:rPr>
        <w:t>-鼓励营利性服务业企业做大做强项目</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lang w:eastAsia="zh-CN"/>
        </w:rPr>
        <w:t>局初审、复审上半年快报营收</w:t>
      </w:r>
      <w:r>
        <w:rPr>
          <w:rFonts w:hint="eastAsia" w:ascii="仿宋_GB2312" w:eastAsia="仿宋_GB2312"/>
          <w:sz w:val="32"/>
          <w:szCs w:val="32"/>
          <w:highlight w:val="none"/>
          <w:lang w:val="en-US" w:eastAsia="zh-CN"/>
        </w:rPr>
        <w:t>2亿元</w:t>
      </w:r>
      <w:r>
        <w:rPr>
          <w:rFonts w:hint="eastAsia" w:ascii="仿宋_GB2312" w:hAnsi="黑体" w:eastAsia="仿宋_GB2312"/>
          <w:sz w:val="32"/>
          <w:szCs w:val="32"/>
          <w:lang w:eastAsia="zh-CN"/>
        </w:rPr>
        <w:t>（含）</w:t>
      </w:r>
      <w:r>
        <w:rPr>
          <w:rFonts w:hint="eastAsia" w:ascii="仿宋_GB2312" w:hAnsi="黑体" w:eastAsia="仿宋_GB2312"/>
          <w:sz w:val="32"/>
          <w:szCs w:val="32"/>
        </w:rPr>
        <w:t>以上</w:t>
      </w:r>
      <w:r>
        <w:rPr>
          <w:rFonts w:hint="eastAsia" w:ascii="仿宋_GB2312" w:hAnsi="黑体" w:eastAsia="仿宋_GB2312"/>
          <w:sz w:val="32"/>
          <w:szCs w:val="32"/>
          <w:lang w:eastAsia="zh-CN"/>
        </w:rPr>
        <w:t>或</w:t>
      </w:r>
      <w:r>
        <w:rPr>
          <w:rFonts w:hint="eastAsia" w:ascii="仿宋_GB2312" w:eastAsia="仿宋_GB2312"/>
          <w:sz w:val="32"/>
          <w:szCs w:val="32"/>
          <w:highlight w:val="none"/>
          <w:lang w:eastAsia="zh-CN"/>
        </w:rPr>
        <w:t>全年快报</w:t>
      </w:r>
      <w:r>
        <w:rPr>
          <w:rFonts w:hint="eastAsia" w:ascii="仿宋_GB2312" w:hAnsi="黑体" w:eastAsia="仿宋_GB2312"/>
          <w:sz w:val="32"/>
          <w:szCs w:val="32"/>
        </w:rPr>
        <w:t>营收5亿元</w:t>
      </w:r>
      <w:r>
        <w:rPr>
          <w:rFonts w:hint="eastAsia" w:ascii="仿宋_GB2312" w:hAnsi="黑体" w:eastAsia="仿宋_GB2312"/>
          <w:sz w:val="32"/>
          <w:szCs w:val="32"/>
          <w:lang w:eastAsia="zh-CN"/>
        </w:rPr>
        <w:t>（含）</w:t>
      </w:r>
      <w:r>
        <w:rPr>
          <w:rFonts w:hint="eastAsia" w:ascii="仿宋_GB2312" w:hAnsi="黑体" w:eastAsia="仿宋_GB2312"/>
          <w:sz w:val="32"/>
          <w:szCs w:val="32"/>
        </w:rPr>
        <w:t>以上的规上</w:t>
      </w:r>
      <w:r>
        <w:rPr>
          <w:rFonts w:hint="eastAsia" w:ascii="仿宋_GB2312" w:hAnsi="黑体" w:eastAsia="仿宋_GB2312"/>
          <w:sz w:val="32"/>
          <w:szCs w:val="32"/>
          <w:lang w:eastAsia="zh-CN"/>
        </w:rPr>
        <w:t>营利性服务业</w:t>
      </w:r>
      <w:r>
        <w:rPr>
          <w:rFonts w:hint="eastAsia" w:ascii="仿宋_GB2312" w:hAnsi="黑体" w:eastAsia="仿宋_GB2312"/>
          <w:sz w:val="32"/>
          <w:szCs w:val="32"/>
        </w:rPr>
        <w:t>企业</w:t>
      </w:r>
      <w:r>
        <w:rPr>
          <w:rFonts w:hint="eastAsia" w:ascii="仿宋_GB2312" w:eastAsia="仿宋_GB2312"/>
          <w:sz w:val="32"/>
          <w:szCs w:val="32"/>
          <w:highlight w:val="none"/>
          <w:lang w:eastAsia="zh-CN"/>
        </w:rPr>
        <w:t>项目申报材料，各街道办按街道统计关系初审、区工业和信息化局复审上半年快报营收</w:t>
      </w:r>
      <w:r>
        <w:rPr>
          <w:rFonts w:hint="eastAsia" w:ascii="仿宋_GB2312" w:eastAsia="仿宋_GB2312"/>
          <w:sz w:val="32"/>
          <w:szCs w:val="32"/>
          <w:highlight w:val="none"/>
          <w:lang w:val="en-US" w:eastAsia="zh-CN"/>
        </w:rPr>
        <w:t>2亿元</w:t>
      </w:r>
      <w:r>
        <w:rPr>
          <w:rFonts w:hint="eastAsia" w:ascii="仿宋_GB2312" w:hAnsi="黑体" w:eastAsia="仿宋_GB2312"/>
          <w:sz w:val="32"/>
          <w:szCs w:val="32"/>
          <w:lang w:eastAsia="zh-CN"/>
        </w:rPr>
        <w:t>以下或</w:t>
      </w:r>
      <w:r>
        <w:rPr>
          <w:rFonts w:hint="eastAsia" w:ascii="仿宋_GB2312" w:eastAsia="仿宋_GB2312"/>
          <w:sz w:val="32"/>
          <w:szCs w:val="32"/>
          <w:highlight w:val="none"/>
          <w:lang w:eastAsia="zh-CN"/>
        </w:rPr>
        <w:t>全年快报</w:t>
      </w:r>
      <w:r>
        <w:rPr>
          <w:rFonts w:hint="eastAsia" w:ascii="仿宋_GB2312" w:hAnsi="黑体" w:eastAsia="仿宋_GB2312"/>
          <w:sz w:val="32"/>
          <w:szCs w:val="32"/>
        </w:rPr>
        <w:t>营收5亿元以</w:t>
      </w:r>
      <w:r>
        <w:rPr>
          <w:rFonts w:hint="eastAsia" w:ascii="仿宋_GB2312" w:hAnsi="黑体" w:eastAsia="仿宋_GB2312"/>
          <w:sz w:val="32"/>
          <w:szCs w:val="32"/>
          <w:lang w:eastAsia="zh-CN"/>
        </w:rPr>
        <w:t>下</w:t>
      </w:r>
      <w:r>
        <w:rPr>
          <w:rFonts w:hint="eastAsia" w:ascii="仿宋_GB2312" w:hAnsi="黑体" w:eastAsia="仿宋_GB2312"/>
          <w:sz w:val="32"/>
          <w:szCs w:val="32"/>
        </w:rPr>
        <w:t>的规上</w:t>
      </w:r>
      <w:r>
        <w:rPr>
          <w:rFonts w:hint="eastAsia" w:ascii="仿宋_GB2312" w:hAnsi="黑体" w:eastAsia="仿宋_GB2312"/>
          <w:sz w:val="32"/>
          <w:szCs w:val="32"/>
          <w:lang w:eastAsia="zh-CN"/>
        </w:rPr>
        <w:t>营利性服务业</w:t>
      </w:r>
      <w:r>
        <w:rPr>
          <w:rFonts w:hint="eastAsia" w:ascii="仿宋_GB2312" w:hAnsi="黑体" w:eastAsia="仿宋_GB2312"/>
          <w:sz w:val="32"/>
          <w:szCs w:val="32"/>
        </w:rPr>
        <w:t>企业</w:t>
      </w:r>
      <w:r>
        <w:rPr>
          <w:rFonts w:hint="eastAsia" w:ascii="仿宋_GB2312" w:eastAsia="仿宋_GB2312"/>
          <w:sz w:val="32"/>
          <w:szCs w:val="32"/>
          <w:highlight w:val="none"/>
          <w:lang w:eastAsia="zh-CN"/>
        </w:rPr>
        <w:t>申报材料；</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区工业和信息化局对受理项目拟定资助计划；</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的不良信用记录等情况进行核查</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对公示期满，无有效投诉的项目资助计划，区工业和信息化局统一对</w:t>
      </w:r>
      <w:r>
        <w:rPr>
          <w:rFonts w:hint="eastAsia" w:ascii="仿宋_GB2312" w:eastAsia="仿宋_GB2312"/>
          <w:sz w:val="32"/>
          <w:szCs w:val="32"/>
          <w:highlight w:val="none"/>
          <w:lang w:eastAsia="zh-CN"/>
        </w:rPr>
        <w:t>本项目</w:t>
      </w:r>
      <w:r>
        <w:rPr>
          <w:rFonts w:hint="eastAsia" w:ascii="仿宋_GB2312" w:hAnsi="宋体" w:eastAsia="仿宋_GB2312"/>
          <w:sz w:val="32"/>
          <w:szCs w:val="32"/>
          <w:highlight w:val="none"/>
          <w:lang w:eastAsia="zh-CN"/>
        </w:rPr>
        <w:t>按照相应审核程序提交区促进产业高质量发展专项资金领导小组会议审议</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after="0" w:line="560" w:lineRule="exact"/>
        <w:ind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经审议后，由区</w:t>
      </w:r>
      <w:r>
        <w:rPr>
          <w:rFonts w:hint="eastAsia" w:ascii="仿宋_GB2312" w:eastAsia="仿宋_GB2312"/>
          <w:sz w:val="32"/>
          <w:szCs w:val="32"/>
          <w:highlight w:val="none"/>
          <w:lang w:val="en-US" w:eastAsia="zh-CN"/>
        </w:rPr>
        <w:t>工业和信息化局</w:t>
      </w:r>
      <w:r>
        <w:rPr>
          <w:rFonts w:hint="eastAsia" w:ascii="仿宋_GB2312" w:eastAsia="仿宋_GB2312"/>
          <w:sz w:val="32"/>
          <w:szCs w:val="32"/>
          <w:highlight w:val="none"/>
          <w:lang w:eastAsia="zh-CN"/>
        </w:rPr>
        <w:t>对受理项目下达资金计划；</w:t>
      </w:r>
    </w:p>
    <w:p>
      <w:pPr>
        <w:widowControl/>
        <w:spacing w:line="560" w:lineRule="exact"/>
        <w:ind w:firstLine="640" w:firstLineChars="200"/>
        <w:outlineLvl w:val="9"/>
        <w:rPr>
          <w:rFonts w:ascii="仿宋_GB2312" w:hAnsi="宋体" w:eastAsia="仿宋_GB2312"/>
          <w:sz w:val="32"/>
          <w:szCs w:val="32"/>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七</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区财政部门及时安排资金，区</w:t>
      </w:r>
      <w:r>
        <w:rPr>
          <w:rFonts w:hint="eastAsia" w:ascii="仿宋_GB2312" w:hAnsi="宋体" w:eastAsia="仿宋_GB2312"/>
          <w:sz w:val="32"/>
          <w:szCs w:val="32"/>
          <w:highlight w:val="none"/>
          <w:lang w:val="en-US" w:eastAsia="zh-CN"/>
        </w:rPr>
        <w:t>工业和信息化局</w:t>
      </w:r>
      <w:r>
        <w:rPr>
          <w:rFonts w:hint="eastAsia" w:ascii="仿宋_GB2312" w:eastAsia="仿宋_GB2312"/>
          <w:sz w:val="32"/>
          <w:szCs w:val="32"/>
          <w:highlight w:val="none"/>
          <w:lang w:eastAsia="zh-CN"/>
        </w:rPr>
        <w:t>对受理项目</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eastAsia="zh-CN"/>
        </w:rPr>
        <w:t>i南山企业服务综合平台”</w:t>
      </w:r>
      <w:bookmarkStart w:id="0" w:name="_GoBack"/>
      <w:bookmarkEnd w:id="0"/>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（四）</w:t>
      </w:r>
      <w:r>
        <w:rPr>
          <w:rFonts w:hint="eastAsia" w:ascii="仿宋_GB2312" w:hAnsi="宋体" w:cs="宋体"/>
          <w:kern w:val="2"/>
          <w:sz w:val="32"/>
          <w:szCs w:val="32"/>
          <w:lang w:val="en-US" w:eastAsia="zh-CN" w:bidi="ar-SA"/>
        </w:rPr>
        <w:t>申请上半年的企业提交</w:t>
      </w:r>
      <w:r>
        <w:rPr>
          <w:rFonts w:hint="eastAsia" w:ascii="仿宋_GB2312" w:hAnsi="宋体" w:eastAsia="仿宋_GB2312" w:cs="宋体"/>
          <w:kern w:val="2"/>
          <w:sz w:val="32"/>
          <w:szCs w:val="32"/>
          <w:lang w:val="en-US" w:eastAsia="zh-CN" w:bidi="ar-SA"/>
        </w:rPr>
        <w:t>202</w:t>
      </w:r>
      <w:r>
        <w:rPr>
          <w:rFonts w:hint="eastAsia" w:ascii="仿宋_GB2312" w:hAnsi="宋体" w:cs="宋体"/>
          <w:kern w:val="2"/>
          <w:sz w:val="32"/>
          <w:szCs w:val="32"/>
          <w:lang w:val="en-US" w:eastAsia="zh-CN" w:bidi="ar-SA"/>
        </w:rPr>
        <w:t>4</w:t>
      </w:r>
      <w:r>
        <w:rPr>
          <w:rFonts w:hint="eastAsia" w:ascii="仿宋_GB2312" w:hAnsi="宋体" w:eastAsia="仿宋_GB2312" w:cs="宋体"/>
          <w:kern w:val="2"/>
          <w:sz w:val="32"/>
          <w:szCs w:val="32"/>
          <w:lang w:val="en-US" w:eastAsia="zh-CN" w:bidi="ar-SA"/>
        </w:rPr>
        <w:t>年1-5月财务状况表及调查单位基本情况表</w:t>
      </w:r>
      <w:r>
        <w:rPr>
          <w:rFonts w:hint="eastAsia" w:ascii="仿宋_GB2312" w:hAnsi="宋体" w:cs="宋体"/>
          <w:kern w:val="2"/>
          <w:sz w:val="32"/>
          <w:szCs w:val="32"/>
          <w:lang w:val="en-US" w:eastAsia="zh-CN" w:bidi="ar-SA"/>
        </w:rPr>
        <w:t>；申请全年的企业提交</w:t>
      </w:r>
      <w:r>
        <w:rPr>
          <w:rFonts w:hint="eastAsia" w:ascii="仿宋_GB2312" w:hAnsi="宋体" w:eastAsia="仿宋_GB2312" w:cs="宋体"/>
          <w:kern w:val="2"/>
          <w:sz w:val="32"/>
          <w:szCs w:val="32"/>
          <w:lang w:val="en-US" w:eastAsia="zh-CN" w:bidi="ar-SA"/>
        </w:rPr>
        <w:t>202</w:t>
      </w:r>
      <w:r>
        <w:rPr>
          <w:rFonts w:hint="eastAsia" w:ascii="仿宋_GB2312" w:hAnsi="宋体" w:cs="宋体"/>
          <w:kern w:val="2"/>
          <w:sz w:val="32"/>
          <w:szCs w:val="32"/>
          <w:lang w:val="en-US" w:eastAsia="zh-CN" w:bidi="ar-SA"/>
        </w:rPr>
        <w:t>4</w:t>
      </w:r>
      <w:r>
        <w:rPr>
          <w:rFonts w:hint="eastAsia" w:ascii="仿宋_GB2312" w:hAnsi="宋体" w:eastAsia="仿宋_GB2312" w:cs="宋体"/>
          <w:kern w:val="2"/>
          <w:sz w:val="32"/>
          <w:szCs w:val="32"/>
          <w:lang w:val="en-US" w:eastAsia="zh-CN" w:bidi="ar-SA"/>
        </w:rPr>
        <w:t>年1-</w:t>
      </w:r>
      <w:r>
        <w:rPr>
          <w:rFonts w:hint="eastAsia" w:ascii="仿宋_GB2312" w:hAnsi="宋体" w:cs="宋体"/>
          <w:kern w:val="2"/>
          <w:sz w:val="32"/>
          <w:szCs w:val="32"/>
          <w:lang w:val="en-US" w:eastAsia="zh-CN" w:bidi="ar-SA"/>
        </w:rPr>
        <w:t>11</w:t>
      </w:r>
      <w:r>
        <w:rPr>
          <w:rFonts w:hint="eastAsia" w:ascii="仿宋_GB2312" w:hAnsi="宋体" w:eastAsia="仿宋_GB2312" w:cs="宋体"/>
          <w:kern w:val="2"/>
          <w:sz w:val="32"/>
          <w:szCs w:val="32"/>
          <w:lang w:val="en-US" w:eastAsia="zh-CN" w:bidi="ar-SA"/>
        </w:rPr>
        <w:t>月</w:t>
      </w:r>
      <w:r>
        <w:rPr>
          <w:rFonts w:hint="eastAsia" w:ascii="仿宋_GB2312" w:hAnsi="宋体" w:cs="宋体"/>
          <w:kern w:val="2"/>
          <w:sz w:val="32"/>
          <w:szCs w:val="32"/>
          <w:lang w:val="en-US" w:eastAsia="zh-CN" w:bidi="ar-SA"/>
        </w:rPr>
        <w:t>、</w:t>
      </w:r>
      <w:r>
        <w:rPr>
          <w:rFonts w:hint="eastAsia" w:ascii="仿宋_GB2312" w:hAnsi="宋体" w:eastAsia="仿宋_GB2312" w:cs="宋体"/>
          <w:kern w:val="2"/>
          <w:sz w:val="32"/>
          <w:szCs w:val="32"/>
          <w:lang w:val="en-US" w:eastAsia="zh-CN" w:bidi="ar-SA"/>
        </w:rPr>
        <w:t>1-1</w:t>
      </w:r>
      <w:r>
        <w:rPr>
          <w:rFonts w:hint="eastAsia" w:ascii="仿宋_GB2312" w:hAnsi="宋体" w:cs="宋体"/>
          <w:kern w:val="2"/>
          <w:sz w:val="32"/>
          <w:szCs w:val="32"/>
          <w:lang w:val="en-US" w:eastAsia="zh-CN" w:bidi="ar-SA"/>
        </w:rPr>
        <w:t>2</w:t>
      </w:r>
      <w:r>
        <w:rPr>
          <w:rFonts w:hint="eastAsia" w:ascii="仿宋_GB2312" w:hAnsi="宋体" w:eastAsia="仿宋_GB2312" w:cs="宋体"/>
          <w:kern w:val="2"/>
          <w:sz w:val="32"/>
          <w:szCs w:val="32"/>
          <w:lang w:val="en-US" w:eastAsia="zh-CN" w:bidi="ar-SA"/>
        </w:rPr>
        <w:t>月财务状况表及调查单位基本情况表[</w:t>
      </w:r>
      <w:r>
        <w:rPr>
          <w:rFonts w:hint="default" w:ascii="仿宋_GB2312" w:hAnsi="宋体" w:eastAsia="仿宋_GB2312" w:cs="宋体"/>
          <w:kern w:val="2"/>
          <w:sz w:val="32"/>
          <w:szCs w:val="32"/>
          <w:lang w:val="en-US" w:eastAsia="zh-CN" w:bidi="ar-SA"/>
        </w:rPr>
        <w:t>“</w:t>
      </w:r>
      <w:r>
        <w:rPr>
          <w:rFonts w:hint="eastAsia" w:ascii="仿宋_GB2312" w:hAnsi="宋体" w:eastAsia="仿宋_GB2312" w:cs="宋体"/>
          <w:kern w:val="2"/>
          <w:sz w:val="32"/>
          <w:szCs w:val="32"/>
          <w:lang w:val="en-US" w:eastAsia="zh-CN" w:bidi="ar-SA"/>
        </w:rPr>
        <w:t>统计联网直报平台”下载，原件（或复印件加盖单位公章）彩色扫描成PDF文件上传]；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（五）其他与项目有关的说明材料。</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10" w:firstLineChars="200"/>
        <w:contextualSpacing/>
        <w:textAlignment w:val="auto"/>
        <w:outlineLvl w:val="9"/>
        <w:rPr>
          <w:rFonts w:hint="eastAsia" w:ascii="仿宋_GB2312" w:eastAsia="仿宋_GB2312"/>
          <w:b/>
          <w:bCs/>
          <w:color w:val="000000"/>
          <w:w w:val="95"/>
          <w:sz w:val="32"/>
          <w:szCs w:val="32"/>
          <w:highlight w:val="none"/>
        </w:rPr>
      </w:pPr>
      <w:r>
        <w:rPr>
          <w:rFonts w:hint="eastAsia" w:ascii="仿宋_GB2312" w:eastAsia="仿宋_GB2312"/>
          <w:b/>
          <w:bCs/>
          <w:color w:val="000000"/>
          <w:w w:val="95"/>
          <w:sz w:val="32"/>
          <w:szCs w:val="32"/>
          <w:highlight w:val="none"/>
        </w:rPr>
        <w:t>备注：本项目无需提交纸质件</w:t>
      </w:r>
    </w:p>
    <w:p>
      <w:pPr>
        <w:pStyle w:val="9"/>
        <w:shd w:val="clear" w:color="auto" w:fill="FFFFFF"/>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pPr>
        <w:pStyle w:val="9"/>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区工业和信息化局</w:t>
      </w:r>
      <w:r>
        <w:rPr>
          <w:rFonts w:hint="eastAsia" w:ascii="仿宋_GB2312" w:hAnsi="仿宋_GB2312" w:eastAsia="仿宋_GB2312" w:cs="仿宋_GB2312"/>
          <w:sz w:val="32"/>
          <w:szCs w:val="32"/>
          <w:lang w:eastAsia="zh-CN"/>
        </w:rPr>
        <w:t>、各街道办</w:t>
      </w:r>
      <w:r>
        <w:rPr>
          <w:rFonts w:hint="eastAsia" w:ascii="仿宋_GB2312" w:hAnsi="仿宋_GB2312" w:eastAsia="仿宋_GB2312" w:cs="仿宋_GB2312"/>
          <w:sz w:val="32"/>
          <w:szCs w:val="32"/>
        </w:rPr>
        <w:t>安排受理企业申请（具体时间</w:t>
      </w:r>
      <w:r>
        <w:rPr>
          <w:rFonts w:hint="eastAsia" w:ascii="仿宋_GB2312" w:hAnsi="仿宋_GB2312" w:eastAsia="仿宋_GB2312" w:cs="仿宋_GB2312"/>
          <w:kern w:val="2"/>
          <w:sz w:val="32"/>
          <w:szCs w:val="32"/>
        </w:rPr>
        <w:t>以发布的申报通知为准），资助计划下达1个月内受资助单位须办理资金拨付手续，逾期不办理者视为自动放弃。</w:t>
      </w:r>
    </w:p>
    <w:p>
      <w:pPr>
        <w:pStyle w:val="9"/>
        <w:shd w:val="clear" w:color="auto" w:fill="FFFFFF"/>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Style w:val="9"/>
        <w:shd w:val="clear" w:color="auto" w:fill="FFFFFF"/>
        <w:spacing w:before="0" w:beforeAutospacing="0" w:after="0" w:afterAutospacing="0" w:line="560" w:lineRule="exact"/>
        <w:ind w:firstLine="645"/>
        <w:jc w:val="both"/>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申请本项目资助的企业应保证其申报材料的完整性、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并承担所提交的项目申报材料的相关法律责任，如有虚假或侵权等行为，该项目申请无效，如事后发现存在以上行为，本资金主管部门将保留依法追究其法律责任的权利。</w:t>
      </w:r>
    </w:p>
    <w:p>
      <w:pPr>
        <w:pStyle w:val="9"/>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9"/>
        <w:shd w:val="clear" w:color="auto" w:fill="FFFFFF"/>
        <w:spacing w:before="0" w:beforeAutospacing="0" w:after="0" w:afterAutospacing="0" w:line="560" w:lineRule="exact"/>
        <w:ind w:firstLine="640" w:firstLineChars="200"/>
        <w:jc w:val="both"/>
      </w:pPr>
      <w:r>
        <w:rPr>
          <w:rFonts w:hint="eastAsia" w:ascii="仿宋_GB2312" w:hAnsi="仿宋_GB2312" w:eastAsia="仿宋_GB2312" w:cs="仿宋_GB2312"/>
          <w:kern w:val="2"/>
          <w:sz w:val="32"/>
          <w:szCs w:val="32"/>
        </w:rPr>
        <w:t>本规程由南山区工业和信息化局负责解释，自发布之日起施行。</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EE52DD"/>
    <w:multiLevelType w:val="singleLevel"/>
    <w:tmpl w:val="D0EE52D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9361B"/>
    <w:rsid w:val="06D97352"/>
    <w:rsid w:val="095236D3"/>
    <w:rsid w:val="183B31C5"/>
    <w:rsid w:val="19EC53EC"/>
    <w:rsid w:val="1FFF1BEB"/>
    <w:rsid w:val="2ED87A39"/>
    <w:rsid w:val="3459361B"/>
    <w:rsid w:val="37353577"/>
    <w:rsid w:val="37FF46FF"/>
    <w:rsid w:val="3F7B084E"/>
    <w:rsid w:val="50145771"/>
    <w:rsid w:val="53DF24E9"/>
    <w:rsid w:val="53E07B58"/>
    <w:rsid w:val="571B6E39"/>
    <w:rsid w:val="58FE024A"/>
    <w:rsid w:val="5EFFB74F"/>
    <w:rsid w:val="6771172F"/>
    <w:rsid w:val="67BF2FB7"/>
    <w:rsid w:val="691814ED"/>
    <w:rsid w:val="6BE590FB"/>
    <w:rsid w:val="6F047626"/>
    <w:rsid w:val="738DA008"/>
    <w:rsid w:val="73F946F5"/>
    <w:rsid w:val="76F7610D"/>
    <w:rsid w:val="7DFF1B7A"/>
    <w:rsid w:val="7FEDB3E8"/>
    <w:rsid w:val="8F5C4B23"/>
    <w:rsid w:val="A8F7563A"/>
    <w:rsid w:val="BFFA723E"/>
    <w:rsid w:val="BFFB1FF7"/>
    <w:rsid w:val="CFFF5C84"/>
    <w:rsid w:val="DFFDCF1B"/>
    <w:rsid w:val="EDE7281F"/>
    <w:rsid w:val="F5F70DE6"/>
    <w:rsid w:val="FC6B8AEF"/>
    <w:rsid w:val="FC72AD15"/>
    <w:rsid w:val="FFCF7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10"/>
    <w:pPr>
      <w:spacing w:before="240" w:after="60"/>
      <w:jc w:val="center"/>
      <w:outlineLvl w:val="0"/>
    </w:pPr>
    <w:rPr>
      <w:rFonts w:ascii="Cambria" w:hAnsi="Cambria" w:eastAsia="黑体" w:cs="Times New Roman"/>
      <w:b/>
      <w:bCs/>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paragraph" w:customStyle="1" w:styleId="13">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2024-01-14T10:06:00Z</dcterms:created>
  <dc:creator>Administrator</dc:creator>
  <cp:lastModifiedBy>陈雅欣CYX</cp:lastModifiedBy>
  <cp:lastPrinted>2024-06-27T17:10:00Z</cp:lastPrinted>
  <dcterms:modified xsi:type="dcterms:W3CDTF">2024-07-03T11:37:44Z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A96D6D3BBD7F40518466074FC1F8024E</vt:lpwstr>
  </property>
</Properties>
</file>