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0"/>
        <w:jc w:val="both"/>
        <w:outlineLvl w:val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  <w:t>专精特新中小企业认定标准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认定条件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同时满足以下四项条件即视为满足认定条件：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（一）从事特定细分市场时间达到2年以上。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（二）上年度研发费用总额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不低于100万元，且占营业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收入总额比重不低于3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上年度营业收入总额在1000万元以上，或上年度营业收入总额在1000万元以下，但近2年新增股权融资总额（合格机构投资者的实缴额）达到2000万元以上。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（四）评价得分达到70分以上或满足下列条件之一：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1.近三年获得过省级科技奖励，并在获奖单位中排名前三；或获得国家级科技奖励，并在获奖单位中排名前五。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2.近两年研发费用总额均值在1000万元以上。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3.近两年新增股权融资总额（合格机构投资者的实缴额）6000万元以上。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4.近三年进入“创客中国”中小企业创新创业大赛全国500强企业组名单。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二、评价指标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包括专业化、精细化、特色化和创新能力四类十三个指标，评价结果依分值计算，满分为100分。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（一）专业化指标（满分25分）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1.上年度主营业务收入总额占营业收入总额比重（满分5分）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A.80%以上（5分）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B.70%-80%（3分）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C.60%-70%（1分）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D.60%以下（0分）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2.近2年主营业务收入平均增长率（满分10分）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A.10%以上（10分）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.8%-1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0%（8分）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.6%-8%（6分）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.4%-6%（4分）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.0%-4%（2分）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F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.0%以下（0分）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3.从事特定细分市场年限（满分5分）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每满2年得1分，最高不超过5分。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4.主导产品所属领域情况（满分5分）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.在产业链供应链关键环节及关键领域“补短板”“锻长板”“填空白”取得实际成效（5分）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.属于工业“六基”领域、中华老字号名录或企业主导产品服务关键产业链重点龙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头企业（3分）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.不属于以上情况（0分）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（二）精细化指标（满分25分）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5.数字化水平（满分5分）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A.三级以上（5分）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B.二级（3分）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C.一级（0分）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6.质量管理水平（每满足一项加3分，最高不超过5分）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A.获得省级以上质量奖荣誉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B.建立质量管理体系，获得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ISO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9001等质量管理体系认证证书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C.拥有自主品牌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D.参与制修订标准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7.上年度净利润率（满分10分）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A.10%以上（10分）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B.8%-1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0%（8分）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C.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6%-8%（6分）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D.4%-6%（4分）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E.2%-4%（2分）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F.2%以下（0分）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8.上年度资产负债率（满分5分）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A.50%以下（5分）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B.50%-60%（3分）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C.60%-70%（1分）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D.70%以上（0分）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（三）特色化指标（满分15分）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（由广东省自主设定）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9.特色化指标（最高不超过15分）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从事细分产品市场属于制造业核心基础零部件、元器件、关键软件、先进基础工艺、关键基础材料和产业技术基础；或符合制造强国战略十大重点产业领域；或属于网络强国建设的信息基础设施、关键核心技术、网络安全、数据安全领域等产品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.掌握特色工艺、技术、配方或服务，并有相关专利技术或其它相关支撑材料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.被认定为省级及以上首台（套）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.纳入国家绿色制造名单（绿色园区除外）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.近三年进入“创客广东”中小企业创新创业大赛广东省100强企业组名单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F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.近三年企业获得“省长杯”工业设计大赛决赛优秀奖及以上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G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.拥有国家人才项目人员的企业加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分，拥有省级人才项目人员的企业加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分，拥有市级人才项目人员的企业加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分，向国家级人才项目推荐人选的企业加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（四）创新能力指标（满分35分）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10.与企业主导产品相关的有效知识产权数量（满分10分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.Ⅰ类高价值知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识产权1项以上（10分）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.自主研发Ⅰ类知识产权1项以上（8分）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.Ⅰ类知识产权1项以上（6分）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.Ⅱ类知识产权1项以上（2分）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.无（0分）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11.上年度研发费用投入（满分10分）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.研发费用总额500万元以上或研发费用总额占营业收入总额比重在10%以上（10分）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.研发费用总额400-500万元或研发费用总额占营业收入总额比重在8%-10%（8分）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.研发费用总额300-400万元或研发费用总额占营业收入总额比重在6%-8%（6分）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.研发费用总额200-300万元或研发费用总额占营业收入总额比重在4%-6%（4分）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.研发费用总额100-200万元或研发费用总额占营业收入总额比重在3%-4%（2分）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F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.不属于以上情况（0分）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12.上年度研发人员占比（满分5分）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A.20%以上（5分）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B.10%-20%（3分）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C.5%-10%（1分）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D.5%以下（0分）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13.建立研发机构级别（满分10分）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A.国家级（10分）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.省级（8分）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.市级（4分）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.市级以下（2分）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.未建立研发机构（0分）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onospace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21656"/>
    <w:rsid w:val="0CC2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2024-07-23T08:04:00Z</dcterms:created>
  <dc:creator>false</dc:creator>
  <cp:lastModifiedBy>false</cp:lastModifiedBy>
  <dcterms:modified xsi:type="dcterms:W3CDTF">2024-07-23T08:05:27Z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