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1CF80">
      <w:pPr>
        <w:pStyle w:val="5"/>
        <w:bidi w:val="0"/>
        <w:rPr>
          <w:rFonts w:hint="default"/>
          <w:highlight w:val="none"/>
          <w:lang w:val="en-US" w:eastAsia="zh-CN"/>
        </w:rPr>
      </w:pPr>
      <w:bookmarkStart w:id="0" w:name="_Toc1255392228_WPSOffice_Level1"/>
      <w:bookmarkStart w:id="22" w:name="_GoBack"/>
      <w:r>
        <w:rPr>
          <w:rFonts w:hint="eastAsia"/>
          <w:highlight w:val="none"/>
          <w:lang w:eastAsia="zh-CN"/>
        </w:rPr>
        <w:t>附件</w:t>
      </w:r>
      <w:bookmarkEnd w:id="0"/>
      <w:r>
        <w:rPr>
          <w:rFonts w:hint="eastAsia"/>
          <w:highlight w:val="none"/>
          <w:lang w:val="en-US" w:eastAsia="zh-CN"/>
        </w:rPr>
        <w:t>4</w:t>
      </w:r>
    </w:p>
    <w:p w14:paraId="5ED831E2">
      <w:pPr>
        <w:pageBreakBefore w:val="0"/>
        <w:topLinePunct w:val="0"/>
        <w:bidi w:val="0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bookmarkStart w:id="1" w:name="_Toc917608672_WPSOffice_Level1"/>
      <w:bookmarkStart w:id="2" w:name="_Toc889813258_WPSOffice_Level1"/>
      <w:bookmarkStart w:id="3" w:name="_Toc1937796437_WPSOffice_Level1"/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质量基础设施优质服务子项目</w:t>
      </w:r>
      <w:bookmarkEnd w:id="1"/>
      <w:bookmarkEnd w:id="2"/>
      <w:bookmarkEnd w:id="3"/>
      <w:bookmarkStart w:id="4" w:name="_Toc108699342_WPSOffice_Level1"/>
      <w:bookmarkStart w:id="5" w:name="_Toc1919286322_WPSOffice_Level2"/>
      <w:bookmarkStart w:id="6" w:name="_Toc1981370586_WPSOffice_Level2"/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成果报告</w:t>
      </w:r>
    </w:p>
    <w:p w14:paraId="1F319BA7">
      <w:pPr>
        <w:pageBreakBefore w:val="0"/>
        <w:topLinePunct w:val="0"/>
        <w:bidi w:val="0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  <w:t>模板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）</w:t>
      </w:r>
      <w:bookmarkEnd w:id="4"/>
      <w:bookmarkEnd w:id="5"/>
      <w:bookmarkEnd w:id="6"/>
    </w:p>
    <w:bookmarkEnd w:id="22"/>
    <w:p w14:paraId="68C08CE0">
      <w:pPr>
        <w:pStyle w:val="11"/>
        <w:pageBreakBefore w:val="0"/>
        <w:topLinePunct w:val="0"/>
        <w:bidi w:val="0"/>
        <w:ind w:firstLine="640" w:firstLineChars="200"/>
        <w:textAlignment w:val="auto"/>
        <w:rPr>
          <w:rFonts w:hint="default"/>
          <w:highlight w:val="none"/>
        </w:rPr>
      </w:pPr>
    </w:p>
    <w:p w14:paraId="718FDDFE">
      <w:pPr>
        <w:pageBreakBefore w:val="0"/>
        <w:numPr>
          <w:ilvl w:val="0"/>
          <w:numId w:val="0"/>
        </w:numPr>
        <w:topLinePunct w:val="0"/>
        <w:bidi w:val="0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40"/>
          <w:highlight w:val="none"/>
        </w:rPr>
      </w:pPr>
      <w:bookmarkStart w:id="7" w:name="_Toc512294065_WPSOffice_Level2"/>
      <w:bookmarkStart w:id="8" w:name="_Toc87485028_WPSOffice_Level2"/>
      <w:bookmarkStart w:id="9" w:name="_Toc1838441716_WPSOffice_Level2"/>
      <w:r>
        <w:rPr>
          <w:rFonts w:hint="eastAsia" w:ascii="仿宋_GB2312" w:hAnsi="仿宋_GB2312" w:eastAsia="仿宋_GB2312" w:cs="仿宋_GB2312"/>
          <w:b/>
          <w:bCs/>
          <w:sz w:val="32"/>
          <w:szCs w:val="40"/>
          <w:highlight w:val="none"/>
        </w:rPr>
        <w:t>报告可围绕以下四个评价维度展开：</w:t>
      </w:r>
      <w:bookmarkEnd w:id="7"/>
      <w:bookmarkEnd w:id="8"/>
      <w:bookmarkEnd w:id="9"/>
    </w:p>
    <w:p w14:paraId="54083D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8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bookmarkStart w:id="10" w:name="_Toc1201483126_WPSOffice_Level1"/>
      <w:bookmarkStart w:id="11" w:name="_Toc1277057428_WPSOffice_Level1"/>
      <w:bookmarkStart w:id="12" w:name="_Toc1979263085_WPSOffice_Level1"/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2"/>
          <w:sz w:val="32"/>
          <w:szCs w:val="32"/>
          <w:highlight w:val="none"/>
          <w:u w:val="none" w:color="auto"/>
          <w:lang w:val="en-US" w:eastAsia="zh-CN" w:bidi="ar-SA"/>
        </w:rPr>
        <w:t>一、行动目标准确</w:t>
      </w:r>
      <w:bookmarkEnd w:id="10"/>
      <w:bookmarkEnd w:id="11"/>
      <w:bookmarkEnd w:id="12"/>
    </w:p>
    <w:p w14:paraId="3074C06E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1.说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明有无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综合性质量服务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并有服务事项、服务规范、服务承诺等向社会明示；</w:t>
      </w:r>
    </w:p>
    <w:p w14:paraId="7E78C7A4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是否瞄准“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20+8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”战略性新兴产业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和未来产业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成长性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中小微企业等为服务对象</w:t>
      </w:r>
      <w:r>
        <w:rPr>
          <w:rStyle w:val="10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footnoteReference w:id="0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；</w:t>
      </w:r>
    </w:p>
    <w:p w14:paraId="74685C95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说明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目标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解决的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质量安全、质量提升高发顽疾或共性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质量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问题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质量服务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项目覆盖的同类型企业或上下游企业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数量。</w:t>
      </w:r>
    </w:p>
    <w:p w14:paraId="24BC23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8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bookmarkStart w:id="13" w:name="_Toc615131367_WPSOffice_Level1"/>
      <w:bookmarkStart w:id="14" w:name="_Toc1175763114_WPSOffice_Level1"/>
      <w:bookmarkStart w:id="15" w:name="_Toc2079879684_WPSOffice_Level1"/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2"/>
          <w:sz w:val="32"/>
          <w:szCs w:val="32"/>
          <w:highlight w:val="none"/>
          <w:u w:val="none" w:color="auto"/>
          <w:lang w:val="en-US" w:eastAsia="zh-CN" w:bidi="ar-SA"/>
        </w:rPr>
        <w:t>二、服务能力领先</w:t>
      </w:r>
      <w:bookmarkEnd w:id="13"/>
      <w:bookmarkEnd w:id="14"/>
      <w:bookmarkEnd w:id="15"/>
      <w:r>
        <w:rPr>
          <w:rStyle w:val="10"/>
          <w:rFonts w:hint="eastAsia" w:ascii="黑体" w:hAnsi="黑体" w:eastAsia="黑体" w:cs="黑体"/>
          <w:b w:val="0"/>
          <w:bCs w:val="0"/>
          <w:color w:val="000000"/>
          <w:spacing w:val="8"/>
          <w:kern w:val="2"/>
          <w:sz w:val="32"/>
          <w:szCs w:val="32"/>
          <w:highlight w:val="none"/>
          <w:u w:val="none" w:color="auto"/>
          <w:lang w:val="en-US" w:eastAsia="zh-CN" w:bidi="ar-SA"/>
        </w:rPr>
        <w:footnoteReference w:id="1"/>
      </w:r>
    </w:p>
    <w:p w14:paraId="0AB92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-SA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说明所具备的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-SA"/>
        </w:rPr>
        <w:t>服务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内容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范围，包括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-SA"/>
        </w:rPr>
        <w:t>计量测试服务、标准化服务、检验检测认证服务、质量改进与评审、市场准入或品牌咨询等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eastAsia="zh-CN" w:bidi="ar-SA"/>
        </w:rPr>
        <w:t>，以及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其他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达成行动目标所具备的定制化、集成式、方案型服务能力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-SA"/>
        </w:rPr>
        <w:t>；</w:t>
      </w:r>
    </w:p>
    <w:p w14:paraId="2E6A7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说明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-SA"/>
        </w:rPr>
        <w:t>保障项目开展所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调度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-SA"/>
        </w:rPr>
        <w:t>的软硬件资源，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包括技术措施、管理手段、软硬件设施、人力资源、知识与数据等资源配置与管理机制以及集聚各方资源的运营模式</w:t>
      </w: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。</w:t>
      </w:r>
    </w:p>
    <w:p w14:paraId="2C7019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8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bookmarkStart w:id="16" w:name="_Toc326569360_WPSOffice_Level1"/>
      <w:bookmarkStart w:id="17" w:name="_Toc293438019_WPSOffice_Level1"/>
      <w:bookmarkStart w:id="18" w:name="_Toc1632563920_WPSOffice_Level1"/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2"/>
          <w:sz w:val="32"/>
          <w:szCs w:val="32"/>
          <w:highlight w:val="none"/>
          <w:u w:val="none" w:color="auto"/>
          <w:lang w:val="en-US" w:eastAsia="zh-CN" w:bidi="ar-SA"/>
        </w:rPr>
        <w:t>三、服务质量保障</w:t>
      </w:r>
      <w:bookmarkEnd w:id="16"/>
      <w:bookmarkEnd w:id="17"/>
      <w:bookmarkEnd w:id="18"/>
    </w:p>
    <w:p w14:paraId="7545E7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说明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相关服务项目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的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具体执行方案及目标责任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-SA"/>
        </w:rPr>
        <w:t>；</w:t>
      </w:r>
    </w:p>
    <w:p w14:paraId="617E5B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-SA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说明对服务企业进行的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需求分析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，并提供项目实施过程中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-SA"/>
        </w:rPr>
        <w:t>质量问题改善与效果验证记录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及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-SA"/>
        </w:rPr>
        <w:t>服务对象满意度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调查数据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-SA"/>
        </w:rPr>
        <w:t>；</w:t>
      </w:r>
    </w:p>
    <w:p w14:paraId="360A86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-SA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是否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-SA"/>
        </w:rPr>
        <w:t>开发应用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了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-SA"/>
        </w:rPr>
        <w:t>更多创新性、增值服务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或如何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-SA"/>
        </w:rPr>
        <w:t>有效帮助企业拓展国内外市场。</w:t>
      </w:r>
    </w:p>
    <w:p w14:paraId="626405A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72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8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bookmarkStart w:id="19" w:name="_Toc477336280_WPSOffice_Level1"/>
      <w:bookmarkStart w:id="20" w:name="_Toc2017246510_WPSOffice_Level1"/>
      <w:bookmarkStart w:id="21" w:name="_Toc1387464658_WPSOffice_Level1"/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2"/>
          <w:sz w:val="32"/>
          <w:szCs w:val="32"/>
          <w:highlight w:val="none"/>
          <w:u w:val="none" w:color="auto"/>
          <w:lang w:val="en-US" w:eastAsia="zh-CN" w:bidi="ar-SA"/>
        </w:rPr>
        <w:t>四、服务效能释放</w:t>
      </w:r>
      <w:bookmarkEnd w:id="19"/>
      <w:bookmarkEnd w:id="20"/>
      <w:bookmarkEnd w:id="21"/>
    </w:p>
    <w:p w14:paraId="16BD52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说明服务对象内部质量安全保证能力的提升情况</w:t>
      </w:r>
      <w:r>
        <w:rPr>
          <w:rStyle w:val="10"/>
          <w:rFonts w:hint="eastAsia" w:ascii="黑体" w:hAnsi="黑体" w:eastAsia="黑体" w:cs="黑体"/>
          <w:b w:val="0"/>
          <w:bCs w:val="0"/>
          <w:color w:val="000000"/>
          <w:spacing w:val="8"/>
          <w:kern w:val="2"/>
          <w:sz w:val="32"/>
          <w:szCs w:val="32"/>
          <w:highlight w:val="none"/>
          <w:u w:val="none" w:color="auto"/>
          <w:lang w:val="en-US" w:eastAsia="zh-CN" w:bidi="ar-SA"/>
        </w:rPr>
        <w:footnoteReference w:id="2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，包括相关过程或环节的效率（开发效率、上市效率、设备效率、人均效率等）的提升幅度、内外部质量损失（缺陷成本、返工、退货、索赔等）的下降幅度；</w:t>
      </w:r>
    </w:p>
    <w:p w14:paraId="378A1B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说明项目经验通过工具化、标准化、流程化、模式化等方式予以固化,从个性到一般形成可复用的质量知识和工具库的情况，并输出3个以上典型案例；</w:t>
      </w:r>
    </w:p>
    <w:p w14:paraId="194154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说明上述服务经验在更多领域、更多行业得到推广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，持续释放经济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社会效益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的情况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。</w:t>
      </w:r>
    </w:p>
    <w:p w14:paraId="0FFC5BA1">
      <w:pPr>
        <w:pageBreakBefore w:val="0"/>
        <w:numPr>
          <w:ilvl w:val="0"/>
          <w:numId w:val="0"/>
        </w:numPr>
        <w:wordWrap/>
        <w:topLinePunct w:val="0"/>
        <w:bidi w:val="0"/>
        <w:ind w:leftChars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32"/>
          <w:highlight w:val="none"/>
        </w:rPr>
      </w:pPr>
    </w:p>
    <w:p w14:paraId="3BE46C75">
      <w:pPr>
        <w:pageBreakBefore w:val="0"/>
        <w:numPr>
          <w:ilvl w:val="0"/>
          <w:numId w:val="0"/>
        </w:numPr>
        <w:wordWrap/>
        <w:topLinePunct w:val="0"/>
        <w:bidi w:val="0"/>
        <w:ind w:leftChars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申报单位（盖章）：</w:t>
      </w:r>
    </w:p>
    <w:p w14:paraId="1EF26C8B">
      <w:pPr>
        <w:pageBreakBefore w:val="0"/>
        <w:numPr>
          <w:ilvl w:val="0"/>
          <w:numId w:val="0"/>
        </w:numPr>
        <w:wordWrap w:val="0"/>
        <w:topLinePunct w:val="0"/>
        <w:bidi w:val="0"/>
        <w:ind w:leftChars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日期：  年  月  日</w:t>
      </w:r>
    </w:p>
    <w:p w14:paraId="60FE399B">
      <w:r>
        <w:rPr>
          <w:rFonts w:hint="default"/>
          <w:lang w:val="en-US" w:eastAsia="zh-CN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pPr>
        <w:spacing w:line="240" w:lineRule="auto"/>
        <w:ind w:firstLine="640"/>
      </w:pPr>
      <w:r>
        <w:separator/>
      </w:r>
    </w:p>
  </w:footnote>
  <w:footnote w:type="continuationSeparator" w:id="7">
    <w:p>
      <w:pPr>
        <w:spacing w:line="240" w:lineRule="auto"/>
        <w:ind w:firstLine="640"/>
      </w:pPr>
      <w:r>
        <w:continuationSeparator/>
      </w:r>
    </w:p>
  </w:footnote>
  <w:footnote w:id="0">
    <w:p w14:paraId="79638CE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="0" w:leftChars="0" w:firstLine="0" w:firstLineChars="0"/>
        <w:textAlignment w:val="auto"/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</w:pPr>
    </w:p>
  </w:footnote>
  <w:footnote w:id="1">
    <w:p w14:paraId="7519DB4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textAlignment w:val="auto"/>
        <w:rPr>
          <w:rFonts w:hint="eastAsia" w:ascii="楷体_GB2312" w:hAnsi="楷体_GB2312" w:eastAsia="楷体_GB2312" w:cs="楷体_GB2312"/>
        </w:rPr>
      </w:pPr>
      <w:r>
        <w:rPr>
          <w:rStyle w:val="10"/>
          <w:rFonts w:hint="eastAsia" w:ascii="楷体_GB2312" w:hAnsi="楷体_GB2312" w:eastAsia="楷体_GB2312" w:cs="楷体_GB2312"/>
          <w:sz w:val="21"/>
          <w:szCs w:val="21"/>
        </w:rPr>
        <w:footnoteRef/>
      </w:r>
      <w:r>
        <w:rPr>
          <w:rFonts w:hint="eastAsia" w:ascii="楷体_GB2312" w:hAnsi="楷体_GB2312" w:eastAsia="楷体_GB2312" w:cs="楷体_GB2312"/>
          <w:sz w:val="21"/>
          <w:szCs w:val="21"/>
        </w:rPr>
        <w:t xml:space="preserve"> 基本要求：</w:t>
      </w:r>
      <w:r>
        <w:rPr>
          <w:rFonts w:hint="eastAsia" w:ascii="楷体_GB2312" w:hAnsi="楷体_GB2312" w:eastAsia="楷体_GB2312" w:cs="楷体_GB2312"/>
          <w:b/>
          <w:bCs/>
          <w:sz w:val="21"/>
          <w:szCs w:val="21"/>
        </w:rPr>
        <w:t>项目实施单位为经认定的质量基础设施“一站式”服务平台。</w:t>
      </w:r>
    </w:p>
  </w:footnote>
  <w:footnote w:id="2">
    <w:p w14:paraId="5DCDDE35">
      <w:pPr>
        <w:pStyle w:val="6"/>
        <w:snapToGrid w:val="0"/>
        <w:rPr>
          <w:rFonts w:hint="eastAsia" w:ascii="楷体_GB2312" w:hAnsi="楷体_GB2312" w:eastAsia="楷体_GB2312" w:cs="楷体_GB2312"/>
          <w:sz w:val="21"/>
          <w:szCs w:val="21"/>
        </w:rPr>
      </w:pPr>
      <w:r>
        <w:rPr>
          <w:rStyle w:val="10"/>
          <w:rFonts w:hint="eastAsia" w:ascii="楷体_GB2312" w:hAnsi="楷体_GB2312" w:eastAsia="楷体_GB2312" w:cs="楷体_GB2312"/>
          <w:sz w:val="21"/>
          <w:szCs w:val="21"/>
        </w:rPr>
        <w:footnoteRef/>
      </w:r>
      <w:r>
        <w:rPr>
          <w:rFonts w:hint="eastAsia" w:ascii="楷体_GB2312" w:hAnsi="楷体_GB2312" w:eastAsia="楷体_GB2312" w:cs="楷体_GB2312"/>
          <w:sz w:val="21"/>
          <w:szCs w:val="21"/>
        </w:rPr>
        <w:t xml:space="preserve"> 最低绩效要求：平均劳动生产率提高</w:t>
      </w:r>
      <w:r>
        <w:rPr>
          <w:rFonts w:hint="eastAsia" w:ascii="楷体_GB2312" w:hAnsi="楷体_GB2312" w:eastAsia="楷体_GB2312" w:cs="楷体_GB2312"/>
          <w:b/>
          <w:bCs/>
          <w:sz w:val="21"/>
          <w:szCs w:val="21"/>
        </w:rPr>
        <w:t>5%</w:t>
      </w:r>
      <w:r>
        <w:rPr>
          <w:rFonts w:hint="eastAsia" w:ascii="楷体_GB2312" w:hAnsi="楷体_GB2312" w:eastAsia="楷体_GB2312" w:cs="楷体_GB2312"/>
          <w:sz w:val="21"/>
          <w:szCs w:val="21"/>
        </w:rPr>
        <w:t>,质量损失减少</w:t>
      </w:r>
      <w:r>
        <w:rPr>
          <w:rFonts w:hint="eastAsia" w:ascii="楷体_GB2312" w:hAnsi="楷体_GB2312" w:eastAsia="楷体_GB2312" w:cs="楷体_GB2312"/>
          <w:b/>
          <w:bCs/>
          <w:sz w:val="21"/>
          <w:szCs w:val="21"/>
        </w:rPr>
        <w:t>10%</w:t>
      </w:r>
      <w:r>
        <w:rPr>
          <w:rFonts w:hint="eastAsia" w:ascii="楷体_GB2312" w:hAnsi="楷体_GB2312" w:eastAsia="楷体_GB2312" w:cs="楷体_GB2312"/>
          <w:sz w:val="21"/>
          <w:szCs w:val="21"/>
        </w:rPr>
        <w:t>以上。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6"/>
    <w:footnote w:id="7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yZjVhZDc4ZjVlYTAwNDU1NWViYjRiMWE2NWNhNmYifQ=="/>
  </w:docVars>
  <w:rsids>
    <w:rsidRoot w:val="3FFE4E17"/>
    <w:rsid w:val="0D0B7276"/>
    <w:rsid w:val="1504288A"/>
    <w:rsid w:val="277F46C1"/>
    <w:rsid w:val="3FFE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0"/>
    </w:pPr>
    <w:rPr>
      <w:rFonts w:ascii="黑体" w:hAnsi="黑体" w:eastAsia="黑体"/>
      <w:kern w:val="4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1"/>
    <w:qFormat/>
    <w:uiPriority w:val="1"/>
    <w:pPr>
      <w:ind w:left="106"/>
    </w:pPr>
    <w:rPr>
      <w:rFonts w:ascii="宋体" w:hAnsi="宋体" w:cs="宋体"/>
      <w:sz w:val="32"/>
      <w:szCs w:val="32"/>
      <w:lang w:val="zh-CN" w:bidi="zh-CN"/>
    </w:rPr>
  </w:style>
  <w:style w:type="paragraph" w:customStyle="1" w:styleId="3">
    <w:name w:val="正文_0"/>
    <w:next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">
    <w:name w:val="正文首行缩进1"/>
    <w:basedOn w:val="2"/>
    <w:qFormat/>
    <w:uiPriority w:val="0"/>
    <w:pPr>
      <w:ind w:firstLine="420" w:firstLineChars="100"/>
    </w:pPr>
    <w:rPr>
      <w:rFonts w:ascii="Calibri" w:hAnsi="Calibri"/>
    </w:rPr>
  </w:style>
  <w:style w:type="paragraph" w:styleId="6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styleId="10">
    <w:name w:val="footnote reference"/>
    <w:basedOn w:val="9"/>
    <w:unhideWhenUsed/>
    <w:qFormat/>
    <w:uiPriority w:val="99"/>
    <w:rPr>
      <w:vertAlign w:val="superscript"/>
    </w:rPr>
  </w:style>
  <w:style w:type="paragraph" w:customStyle="1" w:styleId="11">
    <w:name w:val="K正文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2024-11-18T09:21:00Z</dcterms:created>
  <dc:creator>柒芪杞讫</dc:creator>
  <cp:lastModifiedBy>柒芪杞讫</cp:lastModifiedBy>
  <dcterms:modified xsi:type="dcterms:W3CDTF">2024-11-18T09:29:58Z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EE99360BF78C47FF85C0B16B805874B8_13</vt:lpwstr>
  </property>
</Properties>
</file>