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65426F">
      <w:pPr>
        <w:pStyle w:val="6"/>
        <w:bidi w:val="0"/>
        <w:ind w:left="0" w:leftChars="0" w:firstLine="0" w:firstLineChars="0"/>
        <w:rPr>
          <w:rFonts w:hint="eastAsia"/>
          <w:highlight w:val="none"/>
          <w:lang w:val="en-US" w:eastAsia="zh-CN"/>
        </w:rPr>
      </w:pPr>
      <w:bookmarkStart w:id="24" w:name="_GoBack"/>
      <w:r>
        <w:rPr>
          <w:rStyle w:val="11"/>
          <w:rFonts w:hint="eastAsia" w:cs="Times New Roman"/>
          <w:b w:val="0"/>
          <w:sz w:val="32"/>
          <w:szCs w:val="24"/>
          <w:lang w:val="en-US" w:eastAsia="zh-CN" w:bidi="ar-SA"/>
        </w:rPr>
        <w:t>附件2</w:t>
      </w:r>
    </w:p>
    <w:p w14:paraId="2B23D78D">
      <w:pPr>
        <w:keepNext w:val="0"/>
        <w:keepLines w:val="0"/>
        <w:pageBreakBefore w:val="0"/>
        <w:kinsoku/>
        <w:overflowPunct/>
        <w:topLinePunct w:val="0"/>
        <w:autoSpaceDE/>
        <w:autoSpaceDN/>
        <w:bidi w:val="0"/>
        <w:adjustRightInd/>
        <w:snapToGrid w:val="0"/>
        <w:spacing w:line="240" w:lineRule="auto"/>
        <w:ind w:left="0" w:leftChars="0" w:firstLine="0" w:firstLineChars="0"/>
        <w:jc w:val="center"/>
        <w:textAlignment w:val="auto"/>
        <w:rPr>
          <w:rFonts w:hint="default" w:ascii="方正小标宋简体" w:hAnsi="方正小标宋简体" w:eastAsia="方正小标宋简体" w:cs="方正小标宋简体"/>
          <w:b w:val="0"/>
          <w:bCs w:val="0"/>
          <w:sz w:val="44"/>
          <w:szCs w:val="44"/>
          <w:highlight w:val="none"/>
        </w:rPr>
      </w:pPr>
      <w:bookmarkStart w:id="0" w:name="_Toc922082925_WPSOffice_Level1"/>
      <w:bookmarkStart w:id="1" w:name="_Toc1490218013_WPSOffice_Level1"/>
      <w:bookmarkStart w:id="2" w:name="_Toc1243023411_WPSOffice_Level1"/>
      <w:r>
        <w:rPr>
          <w:rFonts w:hint="eastAsia" w:ascii="方正小标宋简体" w:hAnsi="方正小标宋简体" w:eastAsia="方正小标宋简体" w:cs="方正小标宋简体"/>
          <w:b w:val="0"/>
          <w:bCs w:val="0"/>
          <w:sz w:val="44"/>
          <w:szCs w:val="44"/>
          <w:highlight w:val="none"/>
          <w:lang w:eastAsia="zh-CN"/>
        </w:rPr>
        <w:t>行业质量提升扶持</w:t>
      </w:r>
      <w:r>
        <w:rPr>
          <w:rFonts w:hint="default" w:ascii="方正小标宋简体" w:hAnsi="方正小标宋简体" w:eastAsia="方正小标宋简体" w:cs="方正小标宋简体"/>
          <w:b w:val="0"/>
          <w:bCs w:val="0"/>
          <w:sz w:val="44"/>
          <w:szCs w:val="44"/>
          <w:highlight w:val="none"/>
        </w:rPr>
        <w:t>项目</w:t>
      </w:r>
      <w:r>
        <w:rPr>
          <w:rFonts w:hint="eastAsia" w:ascii="方正小标宋简体" w:hAnsi="方正小标宋简体" w:eastAsia="方正小标宋简体" w:cs="方正小标宋简体"/>
          <w:b w:val="0"/>
          <w:bCs w:val="0"/>
          <w:sz w:val="44"/>
          <w:szCs w:val="44"/>
          <w:highlight w:val="none"/>
          <w:lang w:eastAsia="zh-CN"/>
        </w:rPr>
        <w:t>立项阶段实施</w:t>
      </w:r>
      <w:r>
        <w:rPr>
          <w:rFonts w:hint="default" w:ascii="方正小标宋简体" w:hAnsi="方正小标宋简体" w:eastAsia="方正小标宋简体" w:cs="方正小标宋简体"/>
          <w:b w:val="0"/>
          <w:bCs w:val="0"/>
          <w:sz w:val="44"/>
          <w:szCs w:val="44"/>
          <w:highlight w:val="none"/>
        </w:rPr>
        <w:t>方案</w:t>
      </w:r>
      <w:bookmarkEnd w:id="0"/>
      <w:bookmarkEnd w:id="1"/>
      <w:bookmarkEnd w:id="2"/>
    </w:p>
    <w:p w14:paraId="6072AAB6">
      <w:pPr>
        <w:bidi w:val="0"/>
        <w:ind w:left="0" w:leftChars="0" w:firstLine="0" w:firstLineChars="0"/>
        <w:jc w:val="center"/>
        <w:rPr>
          <w:rFonts w:hint="default" w:ascii="楷体_GB2312" w:hAnsi="楷体_GB2312" w:eastAsia="楷体_GB2312" w:cs="楷体_GB2312"/>
          <w:b/>
          <w:bCs/>
          <w:sz w:val="32"/>
          <w:szCs w:val="32"/>
          <w:highlight w:val="none"/>
          <w:lang w:eastAsia="zh-CN"/>
        </w:rPr>
      </w:pPr>
      <w:bookmarkStart w:id="3" w:name="_Toc576628670_WPSOffice_Level2"/>
      <w:bookmarkStart w:id="4" w:name="_Toc458665253_WPSOffice_Level2"/>
      <w:bookmarkStart w:id="5" w:name="_Toc266762776_WPSOffice_Level1"/>
      <w:r>
        <w:rPr>
          <w:rFonts w:hint="default" w:ascii="楷体_GB2312" w:hAnsi="楷体_GB2312" w:eastAsia="楷体_GB2312" w:cs="楷体_GB2312"/>
          <w:b/>
          <w:bCs/>
          <w:sz w:val="32"/>
          <w:szCs w:val="32"/>
          <w:highlight w:val="none"/>
          <w:lang w:eastAsia="zh-CN"/>
        </w:rPr>
        <w:t>（模板）</w:t>
      </w:r>
      <w:bookmarkEnd w:id="3"/>
      <w:bookmarkEnd w:id="4"/>
      <w:bookmarkEnd w:id="5"/>
    </w:p>
    <w:bookmarkEnd w:id="24"/>
    <w:p w14:paraId="237740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CESI仿宋-GB2312" w:hAnsi="CESI仿宋-GB2312" w:eastAsia="CESI仿宋-GB2312" w:cs="CESI仿宋-GB2312"/>
          <w:b/>
          <w:bCs/>
          <w:sz w:val="32"/>
          <w:szCs w:val="40"/>
          <w:highlight w:val="none"/>
        </w:rPr>
      </w:pPr>
    </w:p>
    <w:p w14:paraId="4AD973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40"/>
          <w:highlight w:val="none"/>
        </w:rPr>
      </w:pPr>
      <w:r>
        <w:rPr>
          <w:rFonts w:hint="eastAsia" w:ascii="仿宋_GB2312" w:hAnsi="仿宋_GB2312" w:eastAsia="仿宋_GB2312" w:cs="仿宋_GB2312"/>
          <w:b/>
          <w:bCs/>
          <w:sz w:val="32"/>
          <w:szCs w:val="40"/>
          <w:highlight w:val="none"/>
        </w:rPr>
        <w:t>方案可围绕以下</w:t>
      </w:r>
      <w:r>
        <w:rPr>
          <w:rFonts w:hint="eastAsia" w:ascii="仿宋_GB2312" w:hAnsi="仿宋_GB2312" w:eastAsia="仿宋_GB2312" w:cs="仿宋_GB2312"/>
          <w:b/>
          <w:bCs/>
          <w:sz w:val="32"/>
          <w:szCs w:val="40"/>
          <w:highlight w:val="none"/>
          <w:lang w:eastAsia="zh-CN"/>
        </w:rPr>
        <w:t>六</w:t>
      </w:r>
      <w:r>
        <w:rPr>
          <w:rFonts w:hint="eastAsia" w:ascii="仿宋_GB2312" w:hAnsi="仿宋_GB2312" w:eastAsia="仿宋_GB2312" w:cs="仿宋_GB2312"/>
          <w:b/>
          <w:bCs/>
          <w:sz w:val="32"/>
          <w:szCs w:val="40"/>
          <w:highlight w:val="none"/>
        </w:rPr>
        <w:t>个评价维度展开：</w:t>
      </w:r>
    </w:p>
    <w:p w14:paraId="07477A00">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72" w:firstLineChars="200"/>
        <w:jc w:val="both"/>
        <w:textAlignment w:val="auto"/>
        <w:rPr>
          <w:rFonts w:hint="eastAsia" w:ascii="黑体" w:hAnsi="黑体" w:eastAsia="黑体" w:cs="黑体"/>
          <w:b w:val="0"/>
          <w:bCs w:val="0"/>
          <w:color w:val="000000"/>
          <w:spacing w:val="8"/>
          <w:kern w:val="2"/>
          <w:sz w:val="32"/>
          <w:szCs w:val="32"/>
          <w:highlight w:val="none"/>
          <w:u w:val="none" w:color="auto"/>
          <w:lang w:val="en-US" w:eastAsia="zh-CN" w:bidi="ar-SA"/>
        </w:rPr>
      </w:pPr>
      <w:bookmarkStart w:id="6" w:name="_Toc980107501_WPSOffice_Level1"/>
      <w:bookmarkStart w:id="7" w:name="_Toc1671283987_WPSOffice_Level1"/>
      <w:bookmarkStart w:id="8" w:name="_Toc5552532_WPSOffice_Level1"/>
      <w:bookmarkStart w:id="9" w:name="_Toc178378253_WPSOffice_Level1"/>
      <w:bookmarkStart w:id="10" w:name="_Toc330799366_WPSOffice_Level1"/>
      <w:bookmarkStart w:id="11" w:name="_Toc394322412_WPSOffice_Level1"/>
      <w:r>
        <w:rPr>
          <w:rFonts w:hint="eastAsia" w:ascii="黑体" w:hAnsi="黑体" w:eastAsia="黑体" w:cs="黑体"/>
          <w:b w:val="0"/>
          <w:bCs w:val="0"/>
          <w:color w:val="000000"/>
          <w:spacing w:val="8"/>
          <w:kern w:val="2"/>
          <w:sz w:val="32"/>
          <w:szCs w:val="32"/>
          <w:highlight w:val="none"/>
          <w:u w:val="none" w:color="auto"/>
          <w:lang w:val="en-US" w:eastAsia="zh-CN" w:bidi="ar-SA"/>
        </w:rPr>
        <w:t>一、需求分析</w:t>
      </w:r>
      <w:bookmarkEnd w:id="6"/>
      <w:bookmarkEnd w:id="7"/>
      <w:bookmarkEnd w:id="8"/>
    </w:p>
    <w:p w14:paraId="421684E6">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u w:val="none"/>
          <w:lang w:val="en-US" w:eastAsia="zh-CN"/>
        </w:rPr>
        <w:t>说明如何以提升质量效益为出发点，</w:t>
      </w:r>
      <w:r>
        <w:rPr>
          <w:rFonts w:hint="eastAsia" w:ascii="仿宋_GB2312" w:hAnsi="仿宋_GB2312" w:eastAsia="仿宋_GB2312" w:cs="仿宋_GB2312"/>
          <w:b w:val="0"/>
          <w:bCs w:val="0"/>
          <w:color w:val="auto"/>
          <w:sz w:val="32"/>
          <w:szCs w:val="32"/>
          <w:highlight w:val="none"/>
          <w:u w:val="none"/>
          <w:lang w:eastAsia="zh-CN"/>
        </w:rPr>
        <w:t>对目标行业现状水平、发展趋势、驱动因素和关键差距等</w:t>
      </w:r>
      <w:r>
        <w:rPr>
          <w:rFonts w:hint="eastAsia" w:cs="仿宋_GB2312"/>
          <w:b w:val="0"/>
          <w:bCs w:val="0"/>
          <w:color w:val="auto"/>
          <w:sz w:val="32"/>
          <w:szCs w:val="32"/>
          <w:highlight w:val="none"/>
          <w:u w:val="none"/>
          <w:lang w:eastAsia="zh-CN"/>
        </w:rPr>
        <w:t>进行需求</w:t>
      </w:r>
      <w:r>
        <w:rPr>
          <w:rFonts w:hint="eastAsia" w:ascii="仿宋_GB2312" w:hAnsi="仿宋_GB2312" w:eastAsia="仿宋_GB2312" w:cs="仿宋_GB2312"/>
          <w:b w:val="0"/>
          <w:bCs w:val="0"/>
          <w:color w:val="auto"/>
          <w:sz w:val="32"/>
          <w:szCs w:val="32"/>
          <w:highlight w:val="none"/>
          <w:u w:val="none"/>
          <w:lang w:eastAsia="zh-CN"/>
        </w:rPr>
        <w:t>分析</w:t>
      </w:r>
      <w:r>
        <w:rPr>
          <w:rFonts w:hint="eastAsia" w:cs="仿宋_GB2312"/>
          <w:b w:val="0"/>
          <w:bCs w:val="0"/>
          <w:color w:val="auto"/>
          <w:sz w:val="32"/>
          <w:szCs w:val="32"/>
          <w:highlight w:val="none"/>
          <w:u w:val="none"/>
          <w:lang w:eastAsia="zh-CN"/>
        </w:rPr>
        <w:t>和行业质量共性问题识别</w:t>
      </w:r>
      <w:r>
        <w:rPr>
          <w:rFonts w:hint="eastAsia" w:ascii="仿宋_GB2312" w:hAnsi="仿宋_GB2312" w:eastAsia="仿宋_GB2312" w:cs="仿宋_GB2312"/>
          <w:b w:val="0"/>
          <w:bCs w:val="0"/>
          <w:color w:val="auto"/>
          <w:sz w:val="32"/>
          <w:szCs w:val="32"/>
          <w:highlight w:val="none"/>
          <w:u w:val="none"/>
          <w:lang w:eastAsia="zh-CN"/>
        </w:rPr>
        <w:t>，并结合自身资源能力，</w:t>
      </w:r>
      <w:r>
        <w:rPr>
          <w:rFonts w:hint="eastAsia" w:cs="仿宋_GB2312"/>
          <w:b w:val="0"/>
          <w:bCs w:val="0"/>
          <w:color w:val="auto"/>
          <w:sz w:val="32"/>
          <w:szCs w:val="32"/>
          <w:highlight w:val="none"/>
          <w:u w:val="none"/>
          <w:lang w:eastAsia="zh-CN"/>
        </w:rPr>
        <w:t>提出改进提升</w:t>
      </w:r>
      <w:r>
        <w:rPr>
          <w:rFonts w:hint="eastAsia" w:ascii="仿宋_GB2312" w:hAnsi="仿宋_GB2312" w:eastAsia="仿宋_GB2312" w:cs="仿宋_GB2312"/>
          <w:b w:val="0"/>
          <w:bCs w:val="0"/>
          <w:color w:val="auto"/>
          <w:sz w:val="32"/>
          <w:szCs w:val="32"/>
          <w:highlight w:val="none"/>
          <w:u w:val="none"/>
          <w:lang w:eastAsia="zh-CN"/>
        </w:rPr>
        <w:t>需求。</w:t>
      </w:r>
    </w:p>
    <w:p w14:paraId="6F74F602">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72" w:firstLineChars="200"/>
        <w:jc w:val="both"/>
        <w:textAlignment w:val="auto"/>
        <w:rPr>
          <w:rFonts w:hint="eastAsia" w:ascii="黑体" w:hAnsi="黑体" w:eastAsia="黑体" w:cs="黑体"/>
          <w:b w:val="0"/>
          <w:bCs w:val="0"/>
          <w:color w:val="000000"/>
          <w:spacing w:val="8"/>
          <w:kern w:val="2"/>
          <w:sz w:val="32"/>
          <w:szCs w:val="32"/>
          <w:highlight w:val="none"/>
          <w:u w:val="none" w:color="auto"/>
          <w:lang w:val="en-US" w:eastAsia="zh-CN" w:bidi="ar-SA"/>
        </w:rPr>
      </w:pPr>
      <w:r>
        <w:rPr>
          <w:rFonts w:hint="eastAsia" w:ascii="黑体" w:hAnsi="黑体" w:eastAsia="黑体" w:cs="黑体"/>
          <w:b w:val="0"/>
          <w:bCs w:val="0"/>
          <w:color w:val="000000"/>
          <w:spacing w:val="8"/>
          <w:kern w:val="2"/>
          <w:sz w:val="32"/>
          <w:szCs w:val="32"/>
          <w:highlight w:val="none"/>
          <w:u w:val="none" w:color="auto"/>
          <w:lang w:val="en-US" w:eastAsia="zh-CN" w:bidi="ar-SA"/>
        </w:rPr>
        <w:t>二、行业选取</w:t>
      </w:r>
      <w:bookmarkEnd w:id="9"/>
      <w:bookmarkEnd w:id="10"/>
      <w:bookmarkEnd w:id="11"/>
    </w:p>
    <w:p w14:paraId="262F74A0">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u w:val="none"/>
          <w:lang w:val="en-US" w:eastAsia="zh-CN"/>
        </w:rPr>
        <w:t>说明如何</w:t>
      </w:r>
      <w:r>
        <w:rPr>
          <w:rFonts w:hint="eastAsia" w:ascii="仿宋_GB2312" w:hAnsi="仿宋_GB2312" w:eastAsia="仿宋_GB2312" w:cs="仿宋_GB2312"/>
          <w:b w:val="0"/>
          <w:bCs w:val="0"/>
          <w:color w:val="auto"/>
          <w:sz w:val="32"/>
          <w:szCs w:val="32"/>
          <w:highlight w:val="none"/>
          <w:u w:val="none"/>
          <w:lang w:eastAsia="zh-CN"/>
        </w:rPr>
        <w:t>以“20+8”产业集群等战略性、先导性产业为重点，选定细分行业</w:t>
      </w:r>
      <w:r>
        <w:rPr>
          <w:rStyle w:val="10"/>
          <w:rFonts w:hint="eastAsia" w:ascii="仿宋_GB2312" w:hAnsi="仿宋_GB2312" w:eastAsia="仿宋_GB2312" w:cs="仿宋_GB2312"/>
          <w:sz w:val="32"/>
          <w:szCs w:val="32"/>
          <w:highlight w:val="none"/>
        </w:rPr>
        <w:footnoteReference w:id="0"/>
      </w:r>
      <w:r>
        <w:rPr>
          <w:rFonts w:hint="eastAsia" w:cs="仿宋_GB2312"/>
          <w:b w:val="0"/>
          <w:bCs w:val="0"/>
          <w:color w:val="auto"/>
          <w:sz w:val="32"/>
          <w:szCs w:val="32"/>
          <w:highlight w:val="none"/>
          <w:u w:val="none"/>
          <w:lang w:eastAsia="zh-CN"/>
        </w:rPr>
        <w:t>并进行行业研究，提出计划重点服务的企业名单和重点提升的产品名录，</w:t>
      </w:r>
      <w:r>
        <w:rPr>
          <w:rFonts w:hint="eastAsia" w:ascii="仿宋_GB2312" w:hAnsi="仿宋_GB2312" w:eastAsia="仿宋_GB2312" w:cs="仿宋_GB2312"/>
          <w:b w:val="0"/>
          <w:bCs w:val="0"/>
          <w:color w:val="auto"/>
          <w:sz w:val="32"/>
          <w:szCs w:val="32"/>
          <w:highlight w:val="none"/>
          <w:u w:val="none"/>
          <w:lang w:eastAsia="zh-CN"/>
        </w:rPr>
        <w:t>符合未来产业变革方向。</w:t>
      </w:r>
    </w:p>
    <w:p w14:paraId="1BBF8BDE">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72" w:firstLineChars="200"/>
        <w:jc w:val="both"/>
        <w:textAlignment w:val="auto"/>
        <w:rPr>
          <w:rFonts w:hint="eastAsia" w:ascii="黑体" w:hAnsi="黑体" w:eastAsia="黑体" w:cs="黑体"/>
          <w:b w:val="0"/>
          <w:bCs w:val="0"/>
          <w:color w:val="000000"/>
          <w:spacing w:val="8"/>
          <w:kern w:val="2"/>
          <w:sz w:val="32"/>
          <w:szCs w:val="32"/>
          <w:highlight w:val="none"/>
          <w:u w:val="none" w:color="auto"/>
          <w:lang w:val="en-US" w:eastAsia="zh-CN" w:bidi="ar-SA"/>
        </w:rPr>
      </w:pPr>
      <w:r>
        <w:rPr>
          <w:rFonts w:hint="eastAsia" w:ascii="黑体" w:hAnsi="黑体" w:eastAsia="黑体" w:cs="黑体"/>
          <w:b w:val="0"/>
          <w:bCs w:val="0"/>
          <w:color w:val="000000"/>
          <w:spacing w:val="8"/>
          <w:kern w:val="2"/>
          <w:sz w:val="32"/>
          <w:szCs w:val="32"/>
          <w:highlight w:val="none"/>
          <w:u w:val="none" w:color="auto"/>
          <w:lang w:val="en-US" w:eastAsia="zh-CN" w:bidi="ar-SA"/>
        </w:rPr>
        <w:t>三、方法措施</w:t>
      </w:r>
    </w:p>
    <w:p w14:paraId="1143A70D">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lang w:val="en-US" w:eastAsia="zh-CN"/>
        </w:rPr>
      </w:pPr>
      <w:r>
        <w:rPr>
          <w:rFonts w:hint="eastAsia"/>
          <w:lang w:val="en-US" w:eastAsia="zh-CN"/>
        </w:rPr>
        <w:t>说明基于需求分析与行业选取，对推动产业链、供应链质量协同提升，服务企业质量管理提升、数字化升级，推动产品的可靠性、安全性、适配性等质量特性提升，公共服务平台建设和能力提升等提出的具体可行的方法措施。</w:t>
      </w:r>
    </w:p>
    <w:p w14:paraId="658D50C1">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72" w:firstLineChars="200"/>
        <w:jc w:val="both"/>
        <w:textAlignment w:val="auto"/>
        <w:rPr>
          <w:rFonts w:hint="eastAsia" w:ascii="黑体" w:hAnsi="黑体" w:eastAsia="黑体" w:cs="黑体"/>
          <w:b w:val="0"/>
          <w:bCs w:val="0"/>
          <w:color w:val="000000"/>
          <w:spacing w:val="8"/>
          <w:kern w:val="2"/>
          <w:sz w:val="32"/>
          <w:szCs w:val="32"/>
          <w:highlight w:val="none"/>
          <w:u w:val="none" w:color="auto"/>
          <w:lang w:val="en-US" w:eastAsia="zh-CN" w:bidi="ar-SA"/>
        </w:rPr>
      </w:pPr>
      <w:bookmarkStart w:id="12" w:name="_Toc571074625_WPSOffice_Level1"/>
      <w:bookmarkStart w:id="13" w:name="_Toc95823054_WPSOffice_Level1"/>
      <w:bookmarkStart w:id="14" w:name="_Toc1447990832_WPSOffice_Level1"/>
      <w:r>
        <w:rPr>
          <w:rFonts w:hint="eastAsia" w:ascii="黑体" w:hAnsi="黑体" w:eastAsia="黑体" w:cs="黑体"/>
          <w:b w:val="0"/>
          <w:bCs w:val="0"/>
          <w:color w:val="000000"/>
          <w:spacing w:val="8"/>
          <w:kern w:val="2"/>
          <w:sz w:val="32"/>
          <w:szCs w:val="32"/>
          <w:highlight w:val="none"/>
          <w:u w:val="none" w:color="auto"/>
          <w:lang w:val="en-US" w:eastAsia="zh-CN" w:bidi="ar-SA"/>
        </w:rPr>
        <w:t>四、项目规划</w:t>
      </w:r>
      <w:bookmarkEnd w:id="12"/>
      <w:bookmarkEnd w:id="13"/>
      <w:bookmarkEnd w:id="14"/>
    </w:p>
    <w:p w14:paraId="582218A0">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val="0"/>
          <w:bCs w:val="0"/>
          <w:color w:val="auto"/>
          <w:sz w:val="32"/>
          <w:szCs w:val="32"/>
          <w:highlight w:val="none"/>
          <w:u w:val="none"/>
          <w:lang w:val="en-US" w:eastAsia="zh-CN"/>
        </w:rPr>
        <w:t>说明如何确定项目工作内容，设定绩效目标，分解行动计划，以及通过哪些方法、途径、手段实施项目，包括但不限于“项目活动、预期目标、资源配置、时间计划、项目</w:t>
      </w:r>
      <w:r>
        <w:rPr>
          <w:rFonts w:hint="eastAsia" w:cs="仿宋_GB2312"/>
          <w:b w:val="0"/>
          <w:bCs w:val="0"/>
          <w:color w:val="auto"/>
          <w:sz w:val="32"/>
          <w:szCs w:val="32"/>
          <w:highlight w:val="none"/>
          <w:u w:val="none"/>
          <w:lang w:val="en-US" w:eastAsia="zh-CN"/>
        </w:rPr>
        <w:t>团</w:t>
      </w:r>
      <w:r>
        <w:rPr>
          <w:rFonts w:hint="eastAsia" w:ascii="仿宋_GB2312" w:hAnsi="仿宋_GB2312" w:eastAsia="仿宋_GB2312" w:cs="仿宋_GB2312"/>
          <w:b w:val="0"/>
          <w:bCs w:val="0"/>
          <w:color w:val="auto"/>
          <w:sz w:val="32"/>
          <w:szCs w:val="32"/>
          <w:highlight w:val="none"/>
          <w:u w:val="none"/>
          <w:lang w:val="en-US" w:eastAsia="zh-CN"/>
        </w:rPr>
        <w:t>队、责任分工、关键路径、</w:t>
      </w:r>
      <w:r>
        <w:rPr>
          <w:rFonts w:hint="eastAsia" w:cs="仿宋_GB2312"/>
          <w:b w:val="0"/>
          <w:bCs w:val="0"/>
          <w:color w:val="auto"/>
          <w:sz w:val="32"/>
          <w:szCs w:val="32"/>
          <w:highlight w:val="none"/>
          <w:u w:val="none"/>
          <w:lang w:val="en-US" w:eastAsia="zh-CN"/>
        </w:rPr>
        <w:t>评估与改进机制、</w:t>
      </w:r>
      <w:r>
        <w:rPr>
          <w:rFonts w:hint="eastAsia" w:ascii="仿宋_GB2312" w:hAnsi="仿宋_GB2312" w:eastAsia="仿宋_GB2312" w:cs="仿宋_GB2312"/>
          <w:b w:val="0"/>
          <w:bCs w:val="0"/>
          <w:color w:val="auto"/>
          <w:sz w:val="32"/>
          <w:szCs w:val="32"/>
          <w:highlight w:val="none"/>
          <w:u w:val="none"/>
          <w:lang w:val="en-US" w:eastAsia="zh-CN"/>
        </w:rPr>
        <w:t>里程碑和衡量指标”等。其中目标设定上不低于政策目标要求</w:t>
      </w:r>
      <w:r>
        <w:rPr>
          <w:rStyle w:val="10"/>
          <w:rFonts w:hint="eastAsia" w:ascii="仿宋_GB2312" w:hAnsi="仿宋_GB2312" w:eastAsia="仿宋_GB2312" w:cs="仿宋_GB2312"/>
          <w:sz w:val="32"/>
          <w:szCs w:val="32"/>
          <w:highlight w:val="none"/>
        </w:rPr>
        <w:footnoteReference w:id="1"/>
      </w:r>
      <w:r>
        <w:rPr>
          <w:rFonts w:hint="eastAsia" w:ascii="仿宋_GB2312" w:hAnsi="仿宋_GB2312" w:eastAsia="仿宋_GB2312" w:cs="仿宋_GB2312"/>
          <w:b w:val="0"/>
          <w:bCs w:val="0"/>
          <w:color w:val="auto"/>
          <w:sz w:val="32"/>
          <w:szCs w:val="32"/>
          <w:highlight w:val="none"/>
          <w:u w:val="none"/>
          <w:lang w:val="en-US" w:eastAsia="zh-CN"/>
        </w:rPr>
        <w:t>；项目团队成员</w:t>
      </w:r>
      <w:r>
        <w:rPr>
          <w:rFonts w:hint="eastAsia" w:ascii="仿宋_GB2312" w:hAnsi="仿宋_GB2312" w:eastAsia="仿宋_GB2312" w:cs="仿宋_GB2312"/>
          <w:b w:val="0"/>
          <w:bCs w:val="0"/>
          <w:color w:val="auto"/>
          <w:sz w:val="32"/>
          <w:szCs w:val="32"/>
          <w:highlight w:val="none"/>
          <w:u w:val="none"/>
          <w:lang w:eastAsia="zh-CN"/>
        </w:rPr>
        <w:t>在资历经验、专业技能等方面与项目需求与目标相匹配，核心成员不少于</w:t>
      </w:r>
      <w:r>
        <w:rPr>
          <w:rFonts w:hint="eastAsia" w:ascii="仿宋_GB2312" w:hAnsi="仿宋_GB2312" w:eastAsia="仿宋_GB2312" w:cs="仿宋_GB2312"/>
          <w:b w:val="0"/>
          <w:bCs w:val="0"/>
          <w:color w:val="auto"/>
          <w:sz w:val="32"/>
          <w:szCs w:val="32"/>
          <w:highlight w:val="none"/>
          <w:u w:val="none"/>
          <w:lang w:val="en-US" w:eastAsia="zh-CN"/>
        </w:rPr>
        <w:t>3人。</w:t>
      </w:r>
    </w:p>
    <w:p w14:paraId="7E846CD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72" w:firstLineChars="200"/>
        <w:jc w:val="both"/>
        <w:textAlignment w:val="auto"/>
        <w:rPr>
          <w:rFonts w:hint="eastAsia" w:ascii="黑体" w:hAnsi="黑体" w:eastAsia="黑体" w:cs="黑体"/>
          <w:b w:val="0"/>
          <w:bCs w:val="0"/>
          <w:color w:val="000000"/>
          <w:spacing w:val="8"/>
          <w:kern w:val="2"/>
          <w:sz w:val="32"/>
          <w:szCs w:val="32"/>
          <w:highlight w:val="none"/>
          <w:u w:val="none" w:color="auto"/>
          <w:lang w:val="en-US" w:eastAsia="zh-CN" w:bidi="ar-SA"/>
        </w:rPr>
      </w:pPr>
      <w:bookmarkStart w:id="15" w:name="_Toc534748266_WPSOffice_Level1"/>
      <w:bookmarkStart w:id="16" w:name="_Toc146289367_WPSOffice_Level1"/>
      <w:bookmarkStart w:id="17" w:name="_Toc1222784731_WPSOffice_Level1"/>
      <w:r>
        <w:rPr>
          <w:rFonts w:hint="eastAsia" w:ascii="黑体" w:hAnsi="黑体" w:eastAsia="黑体" w:cs="黑体"/>
          <w:b w:val="0"/>
          <w:bCs w:val="0"/>
          <w:color w:val="000000"/>
          <w:spacing w:val="8"/>
          <w:kern w:val="2"/>
          <w:sz w:val="32"/>
          <w:szCs w:val="32"/>
          <w:highlight w:val="none"/>
          <w:u w:val="none" w:color="auto"/>
          <w:lang w:val="en-US" w:eastAsia="zh-CN" w:bidi="ar-SA"/>
        </w:rPr>
        <w:t>五、保障措施</w:t>
      </w:r>
      <w:bookmarkEnd w:id="15"/>
      <w:bookmarkEnd w:id="16"/>
      <w:bookmarkEnd w:id="17"/>
    </w:p>
    <w:p w14:paraId="6755F15A">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none"/>
          <w:lang w:eastAsia="zh-CN"/>
        </w:rPr>
      </w:pPr>
      <w:r>
        <w:rPr>
          <w:rFonts w:hint="eastAsia" w:ascii="仿宋_GB2312" w:hAnsi="仿宋_GB2312" w:eastAsia="仿宋_GB2312" w:cs="仿宋_GB2312"/>
          <w:b w:val="0"/>
          <w:bCs w:val="0"/>
          <w:color w:val="auto"/>
          <w:sz w:val="32"/>
          <w:szCs w:val="32"/>
          <w:highlight w:val="none"/>
          <w:u w:val="none"/>
          <w:lang w:eastAsia="zh-CN"/>
        </w:rPr>
        <w:t>说明保障项目开展所需的软硬件资源，包括是否与相关技术机构、行业协会、龙头企业、用户组建联合实施主体，</w:t>
      </w:r>
      <w:r>
        <w:rPr>
          <w:rFonts w:hint="eastAsia" w:ascii="仿宋_GB2312" w:hAnsi="仿宋_GB2312" w:eastAsia="仿宋_GB2312" w:cs="仿宋_GB2312"/>
          <w:b w:val="0"/>
          <w:bCs/>
          <w:color w:val="auto"/>
          <w:sz w:val="32"/>
          <w:szCs w:val="32"/>
          <w:highlight w:val="none"/>
        </w:rPr>
        <w:t>项目实施单位（含联合体）质量基础设施服务</w:t>
      </w:r>
      <w:r>
        <w:rPr>
          <w:rFonts w:hint="eastAsia" w:ascii="仿宋_GB2312" w:hAnsi="仿宋_GB2312" w:eastAsia="仿宋_GB2312" w:cs="仿宋_GB2312"/>
          <w:b w:val="0"/>
          <w:bCs/>
          <w:color w:val="auto"/>
          <w:sz w:val="32"/>
          <w:szCs w:val="32"/>
          <w:highlight w:val="none"/>
          <w:lang w:val="en-US" w:eastAsia="zh-CN"/>
        </w:rPr>
        <w:t>相关</w:t>
      </w:r>
      <w:r>
        <w:rPr>
          <w:rFonts w:hint="eastAsia" w:ascii="仿宋_GB2312" w:hAnsi="仿宋_GB2312" w:eastAsia="仿宋_GB2312" w:cs="仿宋_GB2312"/>
          <w:b w:val="0"/>
          <w:bCs/>
          <w:color w:val="auto"/>
          <w:sz w:val="32"/>
          <w:szCs w:val="32"/>
          <w:highlight w:val="none"/>
        </w:rPr>
        <w:t>资质、技能和经验</w:t>
      </w:r>
      <w:r>
        <w:rPr>
          <w:rFonts w:hint="eastAsia" w:cs="仿宋_GB2312"/>
          <w:b w:val="0"/>
          <w:bCs/>
          <w:color w:val="auto"/>
          <w:sz w:val="32"/>
          <w:szCs w:val="32"/>
          <w:highlight w:val="none"/>
          <w:lang w:eastAsia="zh-CN"/>
        </w:rPr>
        <w:t>等能力情况说明</w:t>
      </w:r>
      <w:r>
        <w:rPr>
          <w:rFonts w:hint="eastAsia" w:cs="仿宋_GB2312"/>
          <w:b w:val="0"/>
          <w:bCs/>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u w:val="none"/>
          <w:lang w:eastAsia="zh-CN"/>
        </w:rPr>
        <w:t>以及在计量测试、检测认证、标准化与知识产权、质量管理咨询、安全评鉴等所需能力条件上的部署或获取方式。</w:t>
      </w:r>
    </w:p>
    <w:p w14:paraId="336FE0C9">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72" w:firstLineChars="200"/>
        <w:jc w:val="both"/>
        <w:textAlignment w:val="auto"/>
        <w:rPr>
          <w:rFonts w:hint="eastAsia" w:ascii="黑体" w:hAnsi="黑体" w:eastAsia="黑体" w:cs="黑体"/>
          <w:b w:val="0"/>
          <w:bCs w:val="0"/>
          <w:color w:val="000000"/>
          <w:spacing w:val="8"/>
          <w:kern w:val="2"/>
          <w:sz w:val="32"/>
          <w:szCs w:val="32"/>
          <w:highlight w:val="none"/>
          <w:u w:val="none" w:color="auto"/>
          <w:lang w:val="en-US" w:eastAsia="zh-CN" w:bidi="ar-SA"/>
        </w:rPr>
      </w:pPr>
      <w:bookmarkStart w:id="18" w:name="_Toc872684150_WPSOffice_Level1"/>
      <w:bookmarkStart w:id="19" w:name="_Toc2123696325_WPSOffice_Level1"/>
      <w:bookmarkStart w:id="20" w:name="_Toc409933484_WPSOffice_Level1"/>
      <w:r>
        <w:rPr>
          <w:rFonts w:hint="eastAsia" w:ascii="黑体" w:hAnsi="黑体" w:eastAsia="黑体" w:cs="黑体"/>
          <w:b w:val="0"/>
          <w:bCs w:val="0"/>
          <w:color w:val="000000"/>
          <w:spacing w:val="8"/>
          <w:kern w:val="2"/>
          <w:sz w:val="32"/>
          <w:szCs w:val="32"/>
          <w:highlight w:val="none"/>
          <w:u w:val="none" w:color="auto"/>
          <w:lang w:val="en-US" w:eastAsia="zh-CN" w:bidi="ar-SA"/>
        </w:rPr>
        <w:t>六、创新点</w:t>
      </w:r>
      <w:bookmarkEnd w:id="18"/>
      <w:bookmarkEnd w:id="19"/>
      <w:bookmarkEnd w:id="20"/>
    </w:p>
    <w:p w14:paraId="41FC5329">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val="0"/>
          <w:bCs w:val="0"/>
          <w:color w:val="auto"/>
          <w:sz w:val="32"/>
          <w:szCs w:val="32"/>
          <w:highlight w:val="none"/>
          <w:u w:val="none"/>
          <w:lang w:val="en-US" w:eastAsia="zh-CN"/>
        </w:rPr>
        <w:t>说明如何在关键影响因素或关键技术与管理问题上发力，包括但不限于提升行业标准或填补标准空白，从集成产品入手牵引供应链配置优化，推行新型认证和质量管理体系，建立风险防控与可追溯机制，推广应用产业计量、流程标准、零缺陷制造、质量数控等通用共性技术，打造高素质专业技能人才队伍，布局产业急需检验认证等生产应用平台或产业技术基础公共服务平台，建立供需对接信息化平台等。</w:t>
      </w:r>
    </w:p>
    <w:p w14:paraId="66F92D7B">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480" w:firstLineChars="200"/>
        <w:jc w:val="right"/>
        <w:textAlignment w:val="auto"/>
        <w:rPr>
          <w:rFonts w:hint="eastAsia" w:ascii="宋体" w:hAnsi="宋体" w:eastAsia="宋体" w:cs="宋体"/>
          <w:sz w:val="24"/>
          <w:szCs w:val="24"/>
          <w:highlight w:val="none"/>
        </w:rPr>
      </w:pPr>
    </w:p>
    <w:p w14:paraId="08EA3B69">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480" w:firstLineChars="200"/>
        <w:jc w:val="righ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申报单位（盖章）：</w:t>
      </w:r>
    </w:p>
    <w:p w14:paraId="24867078">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0" w:firstLine="480" w:firstLineChars="200"/>
        <w:jc w:val="right"/>
        <w:textAlignment w:val="auto"/>
        <w:rPr>
          <w:rFonts w:hint="eastAsia"/>
          <w:lang w:val="en-US" w:eastAsia="zh-CN"/>
        </w:rPr>
      </w:pPr>
      <w:r>
        <w:rPr>
          <w:rFonts w:hint="eastAsia" w:ascii="宋体" w:hAnsi="宋体" w:eastAsia="宋体" w:cs="宋体"/>
          <w:sz w:val="24"/>
          <w:szCs w:val="24"/>
          <w:highlight w:val="none"/>
        </w:rPr>
        <w:t>日期：</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 xml:space="preserve"> 年  月  日</w:t>
      </w:r>
    </w:p>
    <w:p w14:paraId="4A50F7A8">
      <w:pPr>
        <w:rPr>
          <w:rFonts w:hint="eastAsia"/>
          <w:lang w:val="en-US" w:eastAsia="zh-CN"/>
        </w:rPr>
      </w:pPr>
    </w:p>
    <w:p w14:paraId="23EBE21D">
      <w:pPr>
        <w:keepNext w:val="0"/>
        <w:keepLines w:val="0"/>
        <w:pageBreakBefore w:val="0"/>
        <w:numPr>
          <w:ilvl w:val="0"/>
          <w:numId w:val="0"/>
        </w:numPr>
        <w:kinsoku/>
        <w:wordWrap/>
        <w:overflowPunct/>
        <w:topLinePunct w:val="0"/>
        <w:autoSpaceDE/>
        <w:autoSpaceDN/>
        <w:bidi w:val="0"/>
        <w:adjustRightInd/>
        <w:snapToGrid w:val="0"/>
        <w:spacing w:line="560" w:lineRule="exact"/>
        <w:ind w:firstLine="562"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bookmarkStart w:id="21" w:name="_Toc58148897_WPSOffice_Level1"/>
      <w:bookmarkStart w:id="22" w:name="_Toc1400925369_WPSOffice_Level1"/>
      <w:bookmarkStart w:id="23" w:name="_Toc1845518180_WPSOffice_Level1"/>
      <w:r>
        <w:rPr>
          <w:rFonts w:hint="eastAsia" w:cs="仿宋_GB2312"/>
          <w:b/>
          <w:bCs/>
          <w:color w:val="auto"/>
          <w:kern w:val="0"/>
          <w:sz w:val="28"/>
          <w:szCs w:val="28"/>
          <w:highlight w:val="none"/>
          <w:lang w:val="en-US" w:eastAsia="zh-CN" w:bidi="ar-SA"/>
        </w:rPr>
        <w:t>注</w:t>
      </w:r>
      <w:r>
        <w:rPr>
          <w:rFonts w:hint="eastAsia" w:ascii="仿宋_GB2312" w:hAnsi="仿宋_GB2312" w:eastAsia="仿宋_GB2312" w:cs="仿宋_GB2312"/>
          <w:b/>
          <w:bCs/>
          <w:color w:val="auto"/>
          <w:kern w:val="0"/>
          <w:sz w:val="28"/>
          <w:szCs w:val="28"/>
          <w:highlight w:val="none"/>
          <w:lang w:val="en-US" w:eastAsia="zh-CN" w:bidi="ar-SA"/>
        </w:rPr>
        <w:t>：</w:t>
      </w:r>
      <w:bookmarkEnd w:id="21"/>
      <w:bookmarkEnd w:id="22"/>
      <w:bookmarkEnd w:id="23"/>
    </w:p>
    <w:p w14:paraId="6DEC3183">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1.本方案仅适用于一个完整的行业质量提升项目在</w:t>
      </w:r>
      <w:r>
        <w:rPr>
          <w:rFonts w:hint="eastAsia" w:ascii="仿宋_GB2312" w:hAnsi="仿宋_GB2312" w:eastAsia="仿宋_GB2312" w:cs="仿宋_GB2312"/>
          <w:b w:val="0"/>
          <w:bCs w:val="0"/>
          <w:color w:val="auto"/>
          <w:sz w:val="28"/>
          <w:szCs w:val="28"/>
          <w:highlight w:val="none"/>
          <w:u w:val="none"/>
          <w:lang w:val="en" w:eastAsia="zh-CN"/>
        </w:rPr>
        <w:t>立项阶段的方案申报，立项后将实行合同制管理，依合同推进项目，项目完成前（实施周期一般不超过</w:t>
      </w:r>
      <w:r>
        <w:rPr>
          <w:rFonts w:hint="eastAsia" w:ascii="仿宋_GB2312" w:hAnsi="仿宋_GB2312" w:eastAsia="仿宋_GB2312" w:cs="仿宋_GB2312"/>
          <w:b w:val="0"/>
          <w:bCs w:val="0"/>
          <w:color w:val="auto"/>
          <w:sz w:val="28"/>
          <w:szCs w:val="28"/>
          <w:highlight w:val="none"/>
          <w:u w:val="none"/>
          <w:lang w:val="en-US" w:eastAsia="zh-CN"/>
        </w:rPr>
        <w:t>2年</w:t>
      </w:r>
      <w:r>
        <w:rPr>
          <w:rFonts w:hint="eastAsia" w:ascii="仿宋_GB2312" w:hAnsi="仿宋_GB2312" w:eastAsia="仿宋_GB2312" w:cs="仿宋_GB2312"/>
          <w:b w:val="0"/>
          <w:bCs w:val="0"/>
          <w:color w:val="auto"/>
          <w:sz w:val="28"/>
          <w:szCs w:val="28"/>
          <w:highlight w:val="none"/>
          <w:u w:val="none"/>
          <w:lang w:val="en" w:eastAsia="zh-CN"/>
        </w:rPr>
        <w:t>）另提供验收报告（模板另附）。</w:t>
      </w:r>
    </w:p>
    <w:p w14:paraId="7E379C71">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2.行业质量提升项目以扩大高质量供给引领新需求为目标，以达到预定绩效为目的，以突破行业整体质量水平提升的“通病”“</w:t>
      </w:r>
      <w:r>
        <w:rPr>
          <w:rFonts w:hint="eastAsia" w:cs="仿宋_GB2312"/>
          <w:b w:val="0"/>
          <w:bCs w:val="0"/>
          <w:color w:val="auto"/>
          <w:sz w:val="28"/>
          <w:szCs w:val="28"/>
          <w:highlight w:val="none"/>
          <w:u w:val="none"/>
          <w:lang w:val="en-US" w:eastAsia="zh-CN"/>
        </w:rPr>
        <w:t>堵</w:t>
      </w:r>
      <w:r>
        <w:rPr>
          <w:rFonts w:hint="eastAsia" w:ascii="仿宋_GB2312" w:hAnsi="仿宋_GB2312" w:eastAsia="仿宋_GB2312" w:cs="仿宋_GB2312"/>
          <w:b w:val="0"/>
          <w:bCs w:val="0"/>
          <w:color w:val="auto"/>
          <w:sz w:val="28"/>
          <w:szCs w:val="28"/>
          <w:highlight w:val="none"/>
          <w:u w:val="none"/>
          <w:lang w:val="en-US" w:eastAsia="zh-CN"/>
        </w:rPr>
        <w:t>点”问题为关键，可在标准规则联通、产品开发协作、制造能力升级、供应链协作优化、质量基础设施配套、产供销用衔接等各层面展开。</w:t>
      </w:r>
    </w:p>
    <w:p w14:paraId="3523A5ED">
      <w:pPr>
        <w:keepNext w:val="0"/>
        <w:keepLines w:val="0"/>
        <w:pageBreakBefore w:val="0"/>
        <w:numPr>
          <w:ilvl w:val="0"/>
          <w:numId w:val="0"/>
        </w:numPr>
        <w:kinsoku/>
        <w:wordWrap/>
        <w:overflowPunct/>
        <w:topLinePunct w:val="0"/>
        <w:autoSpaceDE/>
        <w:autoSpaceDN/>
        <w:bidi w:val="0"/>
        <w:adjustRightInd/>
        <w:snapToGrid w:val="0"/>
        <w:spacing w:line="560" w:lineRule="exact"/>
        <w:ind w:left="0" w:leftChars="0"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3.方案应基于价值链思维，关注全价值链中相互依存的原料供应、设计开发、生产加工、服务交付等各环节协调与优化，并促进高效协作，提高全行业战略成本和竞争优势。</w:t>
      </w:r>
    </w:p>
    <w:p w14:paraId="29D53EC5">
      <w:pPr>
        <w:keepNext w:val="0"/>
        <w:keepLines w:val="0"/>
        <w:pageBreakBefore w:val="0"/>
        <w:numPr>
          <w:ilvl w:val="0"/>
          <w:numId w:val="0"/>
        </w:numPr>
        <w:kinsoku/>
        <w:wordWrap/>
        <w:overflowPunct/>
        <w:topLinePunct w:val="0"/>
        <w:autoSpaceDE/>
        <w:autoSpaceDN/>
        <w:bidi w:val="0"/>
        <w:adjustRightInd/>
        <w:snapToGrid w:val="0"/>
        <w:spacing w:line="560" w:lineRule="exact"/>
        <w:ind w:left="0" w:leftChars="0" w:firstLine="560" w:firstLineChars="200"/>
        <w:textAlignment w:val="auto"/>
        <w:rPr>
          <w:rFonts w:hint="eastAsia" w:ascii="仿宋_GB2312" w:hAnsi="仿宋_GB2312" w:eastAsia="仿宋_GB2312" w:cs="仿宋_GB2312"/>
          <w:b w:val="0"/>
          <w:bCs w:val="0"/>
          <w:color w:val="auto"/>
          <w:sz w:val="28"/>
          <w:szCs w:val="28"/>
          <w:highlight w:val="none"/>
          <w:u w:val="none"/>
          <w:lang w:val="en-US" w:eastAsia="zh-CN"/>
        </w:rPr>
      </w:pPr>
      <w:r>
        <w:rPr>
          <w:rFonts w:hint="eastAsia" w:ascii="仿宋_GB2312" w:hAnsi="仿宋_GB2312" w:eastAsia="仿宋_GB2312" w:cs="仿宋_GB2312"/>
          <w:b w:val="0"/>
          <w:bCs w:val="0"/>
          <w:color w:val="auto"/>
          <w:sz w:val="28"/>
          <w:szCs w:val="28"/>
          <w:highlight w:val="none"/>
          <w:u w:val="none"/>
          <w:lang w:val="en-US" w:eastAsia="zh-CN"/>
        </w:rPr>
        <w:t>4.评审重点在于绩效目标与时限符合要求；组织方式、工作内容、服务保障措施切实有效；过程管理科学并可评价；在解决行业共性需求并帮扶一批企业提质增收上有可信方法。</w:t>
      </w:r>
    </w:p>
    <w:p w14:paraId="461E7BCA">
      <w:r>
        <w:rPr>
          <w:highlight w:val="none"/>
        </w:rPr>
        <w:br w:type="page"/>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方正舒体"/>
    <w:panose1 w:val="02000000000000000000"/>
    <w:charset w:val="86"/>
    <w:family w:val="auto"/>
    <w:pitch w:val="default"/>
    <w:sig w:usb0="00000000" w:usb1="00000000" w:usb2="00000012" w:usb3="00000000" w:csb0="00040001" w:csb1="00000000"/>
  </w:font>
  <w:font w:name="CESI仿宋-GB2312">
    <w:altName w:val="仿宋"/>
    <w:panose1 w:val="02000500000000000000"/>
    <w:charset w:val="86"/>
    <w:family w:val="auto"/>
    <w:pitch w:val="default"/>
    <w:sig w:usb0="00000000" w:usb1="00000000" w:usb2="00000010" w:usb3="00000000" w:csb0="0004000F"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line="240" w:lineRule="auto"/>
        <w:ind w:firstLine="640"/>
      </w:pPr>
      <w:r>
        <w:separator/>
      </w:r>
    </w:p>
  </w:footnote>
  <w:footnote w:type="continuationSeparator" w:id="5">
    <w:p>
      <w:pPr>
        <w:spacing w:line="240" w:lineRule="auto"/>
        <w:ind w:firstLine="640"/>
      </w:pPr>
      <w:r>
        <w:continuationSeparator/>
      </w:r>
    </w:p>
  </w:footnote>
  <w:footnote w:id="0">
    <w:p w14:paraId="3518FC24">
      <w:pPr>
        <w:pStyle w:val="7"/>
        <w:keepNext w:val="0"/>
        <w:keepLines w:val="0"/>
        <w:pageBreakBefore w:val="0"/>
        <w:widowControl w:val="0"/>
        <w:kinsoku/>
        <w:wordWrap/>
        <w:overflowPunct/>
        <w:topLinePunct w:val="0"/>
        <w:autoSpaceDE/>
        <w:autoSpaceDN/>
        <w:bidi w:val="0"/>
        <w:adjustRightInd/>
        <w:snapToGrid w:val="0"/>
        <w:spacing w:line="240" w:lineRule="atLeast"/>
        <w:jc w:val="both"/>
        <w:textAlignment w:val="auto"/>
        <w:rPr>
          <w:rFonts w:hint="eastAsia"/>
          <w:sz w:val="21"/>
          <w:szCs w:val="21"/>
        </w:rPr>
      </w:pPr>
      <w:r>
        <w:rPr>
          <w:rStyle w:val="10"/>
          <w:sz w:val="21"/>
          <w:szCs w:val="21"/>
        </w:rPr>
        <w:footnoteRef/>
      </w:r>
      <w:r>
        <w:rPr>
          <w:rFonts w:hint="eastAsia" w:ascii="楷体_GB2312" w:hAnsi="楷体_GB2312" w:eastAsia="楷体_GB2312" w:cs="楷体_GB2312"/>
          <w:sz w:val="21"/>
          <w:szCs w:val="21"/>
        </w:rPr>
        <w:t xml:space="preserve"> </w:t>
      </w:r>
      <w:r>
        <w:rPr>
          <w:rFonts w:hint="eastAsia" w:ascii="楷体_GB2312" w:hAnsi="楷体_GB2312" w:eastAsia="楷体_GB2312" w:cs="楷体_GB2312"/>
          <w:i w:val="0"/>
          <w:iCs w:val="0"/>
          <w:color w:val="000000"/>
          <w:kern w:val="0"/>
          <w:sz w:val="21"/>
          <w:szCs w:val="21"/>
          <w:u w:val="none"/>
          <w:lang w:val="en-US" w:eastAsia="zh-CN" w:bidi="ar"/>
        </w:rPr>
        <w:t>行业分类可参考《国民经济行业分类》（GB/T</w:t>
      </w:r>
      <w:r>
        <w:rPr>
          <w:rFonts w:hint="eastAsia" w:ascii="楷体_GB2312" w:hAnsi="楷体_GB2312" w:eastAsia="楷体_GB2312" w:cs="楷体_GB2312"/>
          <w:i w:val="0"/>
          <w:iCs w:val="0"/>
          <w:color w:val="000000"/>
          <w:kern w:val="0"/>
          <w:sz w:val="21"/>
          <w:szCs w:val="21"/>
          <w:u w:val="none"/>
          <w:lang w:val="en" w:eastAsia="zh-CN" w:bidi="ar"/>
        </w:rPr>
        <w:t xml:space="preserve"> </w:t>
      </w:r>
      <w:r>
        <w:rPr>
          <w:rFonts w:hint="eastAsia" w:ascii="楷体_GB2312" w:hAnsi="楷体_GB2312" w:eastAsia="楷体_GB2312" w:cs="楷体_GB2312"/>
          <w:i w:val="0"/>
          <w:iCs w:val="0"/>
          <w:color w:val="000000"/>
          <w:kern w:val="0"/>
          <w:sz w:val="21"/>
          <w:szCs w:val="21"/>
          <w:u w:val="none"/>
          <w:lang w:val="en-US" w:eastAsia="zh-CN" w:bidi="ar"/>
        </w:rPr>
        <w:t>4754）、国家统计局《统计用产品分类目录》、深圳市产业结构调整优化和产业导向目录、深圳市“20+8”战略性新兴产业和未来产业细分领域等</w:t>
      </w:r>
      <w:r>
        <w:rPr>
          <w:rFonts w:hint="eastAsia" w:ascii="楷体_GB2312" w:hAnsi="楷体_GB2312" w:eastAsia="楷体_GB2312" w:cs="楷体_GB2312"/>
          <w:sz w:val="21"/>
          <w:szCs w:val="21"/>
        </w:rPr>
        <w:t>。</w:t>
      </w:r>
    </w:p>
  </w:footnote>
  <w:footnote w:id="1">
    <w:p w14:paraId="5D8740E0">
      <w:pPr>
        <w:pStyle w:val="7"/>
        <w:keepNext w:val="0"/>
        <w:keepLines w:val="0"/>
        <w:pageBreakBefore w:val="0"/>
        <w:widowControl w:val="0"/>
        <w:kinsoku/>
        <w:wordWrap/>
        <w:overflowPunct/>
        <w:topLinePunct w:val="0"/>
        <w:autoSpaceDE/>
        <w:autoSpaceDN/>
        <w:bidi w:val="0"/>
        <w:adjustRightInd/>
        <w:snapToGrid w:val="0"/>
        <w:spacing w:line="240" w:lineRule="atLeast"/>
        <w:jc w:val="both"/>
        <w:textAlignment w:val="auto"/>
        <w:rPr>
          <w:rFonts w:hint="eastAsia" w:ascii="楷体_GB2312" w:hAnsi="楷体_GB2312" w:eastAsia="楷体_GB2312" w:cs="楷体_GB2312"/>
          <w:sz w:val="21"/>
          <w:szCs w:val="21"/>
        </w:rPr>
      </w:pPr>
      <w:r>
        <w:rPr>
          <w:rStyle w:val="10"/>
          <w:rFonts w:hint="eastAsia" w:ascii="楷体_GB2312" w:hAnsi="楷体_GB2312" w:eastAsia="楷体_GB2312" w:cs="楷体_GB2312"/>
          <w:sz w:val="21"/>
          <w:szCs w:val="21"/>
        </w:rPr>
        <w:footnoteRef/>
      </w:r>
      <w:r>
        <w:rPr>
          <w:rFonts w:hint="eastAsia" w:ascii="楷体_GB2312" w:hAnsi="楷体_GB2312" w:eastAsia="楷体_GB2312" w:cs="楷体_GB2312"/>
          <w:sz w:val="21"/>
          <w:szCs w:val="21"/>
        </w:rPr>
        <w:t xml:space="preserve"> </w:t>
      </w:r>
      <w:r>
        <w:rPr>
          <w:rFonts w:hint="eastAsia" w:ascii="楷体_GB2312" w:hAnsi="楷体_GB2312" w:eastAsia="楷体_GB2312" w:cs="楷体_GB2312"/>
          <w:i w:val="0"/>
          <w:iCs w:val="0"/>
          <w:color w:val="000000"/>
          <w:kern w:val="0"/>
          <w:sz w:val="21"/>
          <w:szCs w:val="21"/>
          <w:u w:val="none"/>
          <w:lang w:val="en-US" w:eastAsia="zh-CN" w:bidi="ar"/>
        </w:rPr>
        <w:t>至少满足以下绩效指标体系中三个方面的绩效目标：（1）产品质量水平上，制造业质量指数增幅</w:t>
      </w:r>
      <w:r>
        <w:rPr>
          <w:rStyle w:val="12"/>
          <w:rFonts w:hint="eastAsia" w:ascii="楷体_GB2312" w:hAnsi="楷体_GB2312" w:eastAsia="楷体_GB2312" w:cs="楷体_GB2312"/>
          <w:sz w:val="21"/>
          <w:szCs w:val="21"/>
          <w:lang w:val="en-US" w:eastAsia="zh-CN" w:bidi="ar"/>
        </w:rPr>
        <w:t>超过1.5%</w:t>
      </w:r>
      <w:r>
        <w:rPr>
          <w:rStyle w:val="13"/>
          <w:rFonts w:hint="eastAsia" w:ascii="楷体_GB2312" w:hAnsi="楷体_GB2312" w:eastAsia="楷体_GB2312" w:cs="楷体_GB2312"/>
          <w:sz w:val="21"/>
          <w:szCs w:val="21"/>
          <w:lang w:val="en-US" w:eastAsia="zh-CN" w:bidi="ar"/>
        </w:rPr>
        <w:t>或产品质量统计调查合格率</w:t>
      </w:r>
      <w:r>
        <w:rPr>
          <w:rStyle w:val="12"/>
          <w:rFonts w:hint="eastAsia" w:ascii="楷体_GB2312" w:hAnsi="楷体_GB2312" w:eastAsia="楷体_GB2312" w:cs="楷体_GB2312"/>
          <w:sz w:val="21"/>
          <w:szCs w:val="21"/>
          <w:lang w:val="en-US" w:eastAsia="zh-CN" w:bidi="ar"/>
        </w:rPr>
        <w:t>85%以上</w:t>
      </w:r>
      <w:r>
        <w:rPr>
          <w:rStyle w:val="13"/>
          <w:rFonts w:hint="eastAsia" w:ascii="楷体_GB2312" w:hAnsi="楷体_GB2312" w:eastAsia="楷体_GB2312" w:cs="楷体_GB2312"/>
          <w:sz w:val="21"/>
          <w:szCs w:val="21"/>
          <w:lang w:val="en-US" w:eastAsia="zh-CN" w:bidi="ar"/>
        </w:rPr>
        <w:t>，未出现行业性、系统性重大质量安全问题；（2）制造过程质量上，中小企业先进质量管理方法普及率</w:t>
      </w:r>
      <w:r>
        <w:rPr>
          <w:rStyle w:val="12"/>
          <w:rFonts w:hint="eastAsia" w:ascii="楷体_GB2312" w:hAnsi="楷体_GB2312" w:eastAsia="楷体_GB2312" w:cs="楷体_GB2312"/>
          <w:sz w:val="21"/>
          <w:szCs w:val="21"/>
          <w:lang w:val="en-US" w:eastAsia="zh-CN" w:bidi="ar"/>
        </w:rPr>
        <w:t>提高50%</w:t>
      </w:r>
      <w:r>
        <w:rPr>
          <w:rStyle w:val="13"/>
          <w:rFonts w:hint="eastAsia" w:ascii="楷体_GB2312" w:hAnsi="楷体_GB2312" w:eastAsia="楷体_GB2312" w:cs="楷体_GB2312"/>
          <w:sz w:val="21"/>
          <w:szCs w:val="21"/>
          <w:lang w:val="en-US" w:eastAsia="zh-CN" w:bidi="ar"/>
        </w:rPr>
        <w:t>，研发质量管理、精益生产或质量体系受训人员</w:t>
      </w:r>
      <w:r>
        <w:rPr>
          <w:rStyle w:val="12"/>
          <w:rFonts w:hint="eastAsia" w:ascii="楷体_GB2312" w:hAnsi="楷体_GB2312" w:eastAsia="楷体_GB2312" w:cs="楷体_GB2312"/>
          <w:sz w:val="21"/>
          <w:szCs w:val="21"/>
          <w:lang w:val="en-US" w:eastAsia="zh-CN" w:bidi="ar"/>
        </w:rPr>
        <w:t>超过200人次</w:t>
      </w:r>
      <w:r>
        <w:rPr>
          <w:rStyle w:val="13"/>
          <w:rFonts w:hint="eastAsia" w:ascii="楷体_GB2312" w:hAnsi="楷体_GB2312" w:eastAsia="楷体_GB2312" w:cs="楷体_GB2312"/>
          <w:sz w:val="21"/>
          <w:szCs w:val="21"/>
          <w:lang w:val="en-US" w:eastAsia="zh-CN" w:bidi="ar"/>
        </w:rPr>
        <w:t>；（3）供应链质量协同上，新增领先性企业标准和行业标准</w:t>
      </w:r>
      <w:r>
        <w:rPr>
          <w:rStyle w:val="12"/>
          <w:rFonts w:hint="eastAsia" w:ascii="楷体_GB2312" w:hAnsi="楷体_GB2312" w:eastAsia="楷体_GB2312" w:cs="楷体_GB2312"/>
          <w:sz w:val="21"/>
          <w:szCs w:val="21"/>
          <w:lang w:val="en-US" w:eastAsia="zh-CN" w:bidi="ar"/>
        </w:rPr>
        <w:t>5件以上</w:t>
      </w:r>
      <w:r>
        <w:rPr>
          <w:rStyle w:val="13"/>
          <w:rFonts w:hint="eastAsia" w:ascii="楷体_GB2312" w:hAnsi="楷体_GB2312" w:eastAsia="楷体_GB2312" w:cs="楷体_GB2312"/>
          <w:sz w:val="21"/>
          <w:szCs w:val="21"/>
          <w:lang w:val="en-US" w:eastAsia="zh-CN" w:bidi="ar"/>
        </w:rPr>
        <w:t>，面向产品或生产线的行业公认认证推广率</w:t>
      </w:r>
      <w:r>
        <w:rPr>
          <w:rStyle w:val="12"/>
          <w:rFonts w:hint="eastAsia" w:ascii="楷体_GB2312" w:hAnsi="楷体_GB2312" w:eastAsia="楷体_GB2312" w:cs="楷体_GB2312"/>
          <w:sz w:val="21"/>
          <w:szCs w:val="21"/>
          <w:lang w:val="en-US" w:eastAsia="zh-CN" w:bidi="ar"/>
        </w:rPr>
        <w:t>达80%</w:t>
      </w:r>
      <w:r>
        <w:rPr>
          <w:rStyle w:val="13"/>
          <w:rFonts w:hint="eastAsia" w:ascii="楷体_GB2312" w:hAnsi="楷体_GB2312" w:eastAsia="楷体_GB2312" w:cs="楷体_GB2312"/>
          <w:sz w:val="21"/>
          <w:szCs w:val="21"/>
          <w:lang w:val="en-US" w:eastAsia="zh-CN" w:bidi="ar"/>
        </w:rPr>
        <w:t>；（4）经济社会贡献上，目标行业增加值较期初财年</w:t>
      </w:r>
      <w:r>
        <w:rPr>
          <w:rStyle w:val="12"/>
          <w:rFonts w:hint="eastAsia" w:ascii="楷体_GB2312" w:hAnsi="楷体_GB2312" w:eastAsia="楷体_GB2312" w:cs="楷体_GB2312"/>
          <w:sz w:val="21"/>
          <w:szCs w:val="21"/>
          <w:lang w:val="en-US" w:eastAsia="zh-CN" w:bidi="ar"/>
        </w:rPr>
        <w:t>增长2%</w:t>
      </w:r>
      <w:r>
        <w:rPr>
          <w:rStyle w:val="13"/>
          <w:rFonts w:hint="eastAsia" w:ascii="楷体_GB2312" w:hAnsi="楷体_GB2312" w:eastAsia="楷体_GB2312" w:cs="楷体_GB2312"/>
          <w:sz w:val="21"/>
          <w:szCs w:val="21"/>
          <w:lang w:val="en-US" w:eastAsia="zh-CN" w:bidi="ar"/>
        </w:rPr>
        <w:t>以上，总质量损失</w:t>
      </w:r>
      <w:r>
        <w:rPr>
          <w:rStyle w:val="12"/>
          <w:rFonts w:hint="eastAsia" w:ascii="楷体_GB2312" w:hAnsi="楷体_GB2312" w:eastAsia="楷体_GB2312" w:cs="楷体_GB2312"/>
          <w:sz w:val="21"/>
          <w:szCs w:val="21"/>
          <w:lang w:val="en-US" w:eastAsia="zh-CN" w:bidi="ar"/>
        </w:rPr>
        <w:t>下降3000万元</w:t>
      </w:r>
      <w:r>
        <w:rPr>
          <w:rStyle w:val="13"/>
          <w:rFonts w:hint="eastAsia" w:ascii="楷体_GB2312" w:hAnsi="楷体_GB2312" w:eastAsia="楷体_GB2312" w:cs="楷体_GB2312"/>
          <w:sz w:val="21"/>
          <w:szCs w:val="21"/>
          <w:lang w:val="en-US" w:eastAsia="zh-CN" w:bidi="ar"/>
        </w:rPr>
        <w:t>；（5）质量发展能力上，布局一批产业急需的标准计量、检验检测、认证认可、试验验证等产业技术基础</w:t>
      </w:r>
      <w:r>
        <w:rPr>
          <w:rStyle w:val="13"/>
          <w:rFonts w:hint="eastAsia" w:ascii="楷体_GB2312" w:hAnsi="楷体_GB2312" w:eastAsia="楷体_GB2312" w:cs="楷体_GB2312"/>
          <w:b/>
          <w:bCs/>
          <w:sz w:val="21"/>
          <w:szCs w:val="21"/>
          <w:lang w:val="en-US" w:eastAsia="zh-CN" w:bidi="ar"/>
        </w:rPr>
        <w:t>公共服务平台</w:t>
      </w:r>
      <w:r>
        <w:rPr>
          <w:rStyle w:val="13"/>
          <w:rFonts w:hint="eastAsia" w:ascii="楷体_GB2312" w:hAnsi="楷体_GB2312" w:eastAsia="楷体_GB2312" w:cs="楷体_GB2312"/>
          <w:sz w:val="21"/>
          <w:szCs w:val="21"/>
          <w:lang w:val="en-US" w:eastAsia="zh-CN" w:bidi="ar"/>
        </w:rPr>
        <w:t>，或形成可复用的</w:t>
      </w:r>
      <w:r>
        <w:rPr>
          <w:rStyle w:val="13"/>
          <w:rFonts w:hint="eastAsia" w:ascii="楷体_GB2312" w:hAnsi="楷体_GB2312" w:eastAsia="楷体_GB2312" w:cs="楷体_GB2312"/>
          <w:b/>
          <w:bCs/>
          <w:sz w:val="21"/>
          <w:szCs w:val="21"/>
          <w:lang w:val="en-US" w:eastAsia="zh-CN" w:bidi="ar"/>
        </w:rPr>
        <w:t>生产应用服务平台、基础数据库</w:t>
      </w:r>
      <w:r>
        <w:rPr>
          <w:rStyle w:val="13"/>
          <w:rFonts w:hint="eastAsia" w:ascii="楷体_GB2312" w:hAnsi="楷体_GB2312" w:eastAsia="楷体_GB2312" w:cs="楷体_GB2312"/>
          <w:sz w:val="21"/>
          <w:szCs w:val="21"/>
          <w:lang w:val="en-US" w:eastAsia="zh-CN" w:bidi="ar"/>
        </w:rPr>
        <w:t>等。</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4"/>
    <w:footnote w:id="5"/>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yZjVhZDc4ZjVlYTAwNDU1NWViYjRiMWE2NWNhNmYifQ=="/>
  </w:docVars>
  <w:rsids>
    <w:rsidRoot w:val="3FFE4E17"/>
    <w:rsid w:val="3FFE4E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880" w:firstLineChars="200"/>
      <w:jc w:val="both"/>
    </w:pPr>
    <w:rPr>
      <w:rFonts w:ascii="仿宋_GB2312" w:hAnsi="仿宋_GB2312" w:eastAsia="仿宋_GB2312" w:cs="Times New Roman"/>
      <w:kern w:val="2"/>
      <w:sz w:val="32"/>
      <w:szCs w:val="24"/>
      <w:lang w:val="en-US" w:eastAsia="zh-CN" w:bidi="ar-SA"/>
    </w:rPr>
  </w:style>
  <w:style w:type="paragraph" w:styleId="5">
    <w:name w:val="heading 1"/>
    <w:basedOn w:val="1"/>
    <w:next w:val="1"/>
    <w:link w:val="11"/>
    <w:qFormat/>
    <w:uiPriority w:val="0"/>
    <w:pPr>
      <w:keepNext/>
      <w:keepLines/>
      <w:spacing w:beforeLines="0" w:beforeAutospacing="0" w:afterLines="0" w:afterAutospacing="0" w:line="560" w:lineRule="exact"/>
      <w:ind w:firstLine="0" w:firstLineChars="0"/>
      <w:outlineLvl w:val="0"/>
    </w:pPr>
    <w:rPr>
      <w:rFonts w:ascii="黑体" w:hAnsi="黑体" w:eastAsia="黑体"/>
      <w:kern w:val="44"/>
    </w:rPr>
  </w:style>
  <w:style w:type="paragraph" w:styleId="6">
    <w:name w:val="heading 2"/>
    <w:basedOn w:val="1"/>
    <w:next w:val="1"/>
    <w:unhideWhenUsed/>
    <w:qFormat/>
    <w:uiPriority w:val="0"/>
    <w:pPr>
      <w:keepNext/>
      <w:keepLines/>
      <w:spacing w:before="20" w:beforeLines="0" w:beforeAutospacing="0" w:after="20" w:afterLines="0" w:afterAutospacing="0" w:line="560" w:lineRule="exact"/>
      <w:ind w:firstLine="880" w:firstLineChars="200"/>
      <w:outlineLvl w:val="1"/>
    </w:pPr>
    <w:rPr>
      <w:rFonts w:ascii="Arial" w:hAnsi="Arial" w:eastAsia="楷体_GB2312"/>
      <w:b/>
      <w:sz w:val="32"/>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3"/>
    <w:next w:val="1"/>
    <w:qFormat/>
    <w:uiPriority w:val="1"/>
    <w:pPr>
      <w:ind w:left="106"/>
    </w:pPr>
    <w:rPr>
      <w:rFonts w:ascii="宋体" w:hAnsi="宋体" w:cs="宋体"/>
      <w:sz w:val="32"/>
      <w:szCs w:val="32"/>
      <w:lang w:val="zh-CN" w:bidi="zh-CN"/>
    </w:rPr>
  </w:style>
  <w:style w:type="paragraph" w:customStyle="1" w:styleId="3">
    <w:name w:val="正文_0"/>
    <w:next w:val="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
    <w:name w:val="正文首行缩进1"/>
    <w:basedOn w:val="2"/>
    <w:qFormat/>
    <w:uiPriority w:val="0"/>
    <w:pPr>
      <w:ind w:firstLine="420" w:firstLineChars="100"/>
    </w:pPr>
    <w:rPr>
      <w:rFonts w:ascii="Calibri" w:hAnsi="Calibri"/>
    </w:rPr>
  </w:style>
  <w:style w:type="paragraph" w:styleId="7">
    <w:name w:val="footnote text"/>
    <w:basedOn w:val="1"/>
    <w:unhideWhenUsed/>
    <w:qFormat/>
    <w:uiPriority w:val="99"/>
    <w:pPr>
      <w:snapToGrid w:val="0"/>
      <w:jc w:val="left"/>
    </w:pPr>
    <w:rPr>
      <w:sz w:val="18"/>
      <w:szCs w:val="18"/>
    </w:rPr>
  </w:style>
  <w:style w:type="character" w:styleId="10">
    <w:name w:val="footnote reference"/>
    <w:basedOn w:val="9"/>
    <w:unhideWhenUsed/>
    <w:qFormat/>
    <w:uiPriority w:val="99"/>
    <w:rPr>
      <w:vertAlign w:val="superscript"/>
    </w:rPr>
  </w:style>
  <w:style w:type="character" w:customStyle="1" w:styleId="11">
    <w:name w:val="标题 1 Char"/>
    <w:link w:val="5"/>
    <w:uiPriority w:val="0"/>
    <w:rPr>
      <w:rFonts w:ascii="黑体" w:hAnsi="黑体" w:eastAsia="黑体"/>
      <w:kern w:val="44"/>
    </w:rPr>
  </w:style>
  <w:style w:type="character" w:customStyle="1" w:styleId="12">
    <w:name w:val="font31"/>
    <w:basedOn w:val="9"/>
    <w:qFormat/>
    <w:uiPriority w:val="0"/>
    <w:rPr>
      <w:rFonts w:hint="eastAsia" w:ascii="宋体" w:hAnsi="宋体" w:eastAsia="宋体" w:cs="宋体"/>
      <w:b/>
      <w:bCs/>
      <w:color w:val="000000"/>
      <w:sz w:val="20"/>
      <w:szCs w:val="20"/>
      <w:u w:val="none"/>
    </w:rPr>
  </w:style>
  <w:style w:type="character" w:customStyle="1" w:styleId="13">
    <w:name w:val="font11"/>
    <w:basedOn w:val="9"/>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2024-11-18T09:21:00Z</dcterms:created>
  <dc:creator>柒芪杞讫</dc:creator>
  <cp:lastModifiedBy>柒芪杞讫</cp:lastModifiedBy>
  <dcterms:modified xsi:type="dcterms:W3CDTF">2024-11-18T09:21:57Z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A9D70E22B6714D58851D9E8F3740F95B_11</vt:lpwstr>
  </property>
</Properties>
</file>