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BE3E0">
      <w:pPr>
        <w:pStyle w:val="5"/>
        <w:bidi w:val="0"/>
        <w:rPr>
          <w:rFonts w:hint="default"/>
          <w:highlight w:val="none"/>
          <w:lang w:val="en-US" w:eastAsia="zh-CN"/>
        </w:rPr>
      </w:pPr>
      <w:bookmarkStart w:id="0" w:name="_Toc397068932_WPSOffice_Level1"/>
      <w:bookmarkStart w:id="1" w:name="_Toc85184005"/>
      <w:bookmarkStart w:id="2" w:name="_Toc513629973"/>
      <w:bookmarkStart w:id="3" w:name="_Toc514769552"/>
      <w:bookmarkStart w:id="4" w:name="_Toc513630500"/>
      <w:bookmarkStart w:id="5" w:name="_Toc514770850"/>
      <w:bookmarkStart w:id="6" w:name="_Toc514771302"/>
      <w:r>
        <w:rPr>
          <w:rFonts w:hint="eastAsia"/>
          <w:highlight w:val="none"/>
          <w:lang w:eastAsia="zh-CN"/>
        </w:rPr>
        <w:t>附件</w:t>
      </w:r>
      <w:bookmarkEnd w:id="0"/>
      <w:r>
        <w:rPr>
          <w:rFonts w:hint="eastAsia"/>
          <w:highlight w:val="none"/>
          <w:lang w:val="en-US" w:eastAsia="zh-CN"/>
        </w:rPr>
        <w:t>6</w:t>
      </w:r>
    </w:p>
    <w:p w14:paraId="44E533C6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/>
        </w:rPr>
      </w:pPr>
      <w:bookmarkStart w:id="7" w:name="_Toc1492812903_WPSOffice_Level1"/>
      <w:bookmarkStart w:id="8" w:name="_Toc787602689_WPSOffice_Level1"/>
      <w:bookmarkStart w:id="9" w:name="_Toc2018333064_WPSOffice_Level1"/>
      <w:bookmarkStart w:id="27" w:name="_GoBack"/>
      <w:r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/>
        </w:rPr>
        <w:t>特色品牌培育项目</w:t>
      </w:r>
      <w:bookmarkEnd w:id="1"/>
      <w:bookmarkEnd w:id="7"/>
      <w:bookmarkStart w:id="10" w:name="_Toc85184006"/>
      <w:bookmarkStart w:id="11" w:name="_Toc1666510831_WPSOffice_Level1"/>
      <w:r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/>
        </w:rPr>
        <w:t>绩效评价报告</w:t>
      </w:r>
      <w:bookmarkEnd w:id="2"/>
      <w:bookmarkEnd w:id="3"/>
      <w:bookmarkEnd w:id="4"/>
      <w:bookmarkEnd w:id="5"/>
      <w:bookmarkEnd w:id="6"/>
      <w:bookmarkEnd w:id="8"/>
      <w:bookmarkEnd w:id="9"/>
      <w:bookmarkEnd w:id="10"/>
    </w:p>
    <w:p w14:paraId="20E29FC9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/>
        </w:rPr>
      </w:pPr>
      <w:bookmarkStart w:id="12" w:name="_Toc1599851629_WPSOffice_Level2"/>
      <w:bookmarkStart w:id="13" w:name="_Toc1210233850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（模板）</w:t>
      </w:r>
      <w:bookmarkEnd w:id="11"/>
      <w:bookmarkEnd w:id="12"/>
      <w:bookmarkEnd w:id="13"/>
    </w:p>
    <w:bookmarkEnd w:id="27"/>
    <w:p w14:paraId="60F86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/>
          <w:b/>
          <w:bCs/>
          <w:sz w:val="32"/>
          <w:highlight w:val="none"/>
        </w:rPr>
      </w:pPr>
      <w:bookmarkStart w:id="14" w:name="_Toc85184009"/>
    </w:p>
    <w:p w14:paraId="3F39F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/>
          <w:b/>
          <w:bCs/>
          <w:sz w:val="32"/>
          <w:highlight w:val="none"/>
        </w:rPr>
      </w:pPr>
      <w:r>
        <w:rPr>
          <w:rFonts w:hint="default" w:ascii="仿宋_GB2312" w:hAnsi="仿宋_GB2312" w:eastAsia="仿宋_GB2312"/>
          <w:b/>
          <w:bCs/>
          <w:sz w:val="32"/>
          <w:highlight w:val="none"/>
        </w:rPr>
        <w:t>报告可围绕以下四个评价维度展开：</w:t>
      </w:r>
    </w:p>
    <w:p w14:paraId="2F451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highlight w:val="none"/>
          <w:lang w:val="en-US" w:eastAsia="zh-CN"/>
        </w:rPr>
      </w:pPr>
      <w:bookmarkStart w:id="15" w:name="_Toc1995845615_WPSOffice_Level1"/>
      <w:bookmarkStart w:id="16" w:name="_Toc1401709115_WPSOffice_Level1"/>
      <w:bookmarkStart w:id="17" w:name="_Toc727868298_WPSOffice_Level1"/>
      <w:r>
        <w:rPr>
          <w:rFonts w:hint="eastAsia" w:ascii="黑体" w:hAnsi="黑体" w:eastAsia="黑体" w:cs="黑体"/>
          <w:sz w:val="32"/>
          <w:highlight w:val="none"/>
          <w:lang w:val="en-US" w:eastAsia="zh-CN"/>
        </w:rPr>
        <w:t>一、主题特色突出</w:t>
      </w:r>
      <w:bookmarkEnd w:id="15"/>
      <w:bookmarkEnd w:id="16"/>
      <w:bookmarkEnd w:id="17"/>
    </w:p>
    <w:p w14:paraId="30830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1.说明项目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品牌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活动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的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专业性、行业性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、创意性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及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特色化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等特征；</w:t>
      </w:r>
    </w:p>
    <w:p w14:paraId="622E4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选题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是否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聚焦经济发展、民生改善重点领域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具有社会关注度或影响力。</w:t>
      </w:r>
    </w:p>
    <w:p w14:paraId="2744E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highlight w:val="none"/>
          <w:lang w:val="en-US" w:eastAsia="zh-CN"/>
        </w:rPr>
      </w:pPr>
      <w:bookmarkStart w:id="18" w:name="_Toc1767710191_WPSOffice_Level1"/>
      <w:bookmarkStart w:id="19" w:name="_Toc1542133403_WPSOffice_Level1"/>
      <w:bookmarkStart w:id="20" w:name="_Toc1887135315_WPSOffice_Level1"/>
      <w:r>
        <w:rPr>
          <w:rFonts w:hint="eastAsia" w:ascii="黑体" w:hAnsi="黑体" w:eastAsia="黑体" w:cs="黑体"/>
          <w:sz w:val="32"/>
          <w:highlight w:val="none"/>
          <w:lang w:val="en-US" w:eastAsia="zh-CN"/>
        </w:rPr>
        <w:t>二、</w:t>
      </w:r>
      <w:r>
        <w:rPr>
          <w:rFonts w:hint="default" w:ascii="黑体" w:hAnsi="黑体" w:eastAsia="黑体" w:cs="黑体"/>
          <w:sz w:val="32"/>
          <w:highlight w:val="none"/>
          <w:lang w:val="en-US" w:eastAsia="zh-CN"/>
        </w:rPr>
        <w:t>示范代表性好</w:t>
      </w:r>
      <w:bookmarkEnd w:id="18"/>
      <w:bookmarkEnd w:id="19"/>
      <w:bookmarkEnd w:id="20"/>
    </w:p>
    <w:p w14:paraId="7D484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1.说明项目如何聚焦特定品牌的发现、提升和推广，过程中采取的技术手段或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积极促进品牌建设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的推动举措</w:t>
      </w:r>
      <w:r>
        <w:rPr>
          <w:rFonts w:hint="eastAsia"/>
          <w:sz w:val="32"/>
          <w:highlight w:val="none"/>
          <w:lang w:eastAsia="zh-CN"/>
        </w:rPr>
        <w:t>；</w:t>
      </w:r>
    </w:p>
    <w:p w14:paraId="0CDE6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highlight w:val="none"/>
          <w:lang w:val="en-US" w:eastAsia="zh-CN" w:bidi="ar-SA"/>
        </w:rPr>
        <w:t>2.说明项目的实施对推动专业性、行业性、区域性品牌建设的促进作用。</w:t>
      </w:r>
    </w:p>
    <w:p w14:paraId="53390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highlight w:val="none"/>
          <w:lang w:val="en-US" w:eastAsia="zh-CN"/>
        </w:rPr>
      </w:pPr>
      <w:bookmarkStart w:id="21" w:name="_Toc1695674683_WPSOffice_Level1"/>
      <w:bookmarkStart w:id="22" w:name="_Toc1672063363_WPSOffice_Level1"/>
      <w:bookmarkStart w:id="23" w:name="_Toc510741034_WPSOffice_Level1"/>
      <w:r>
        <w:rPr>
          <w:rFonts w:hint="eastAsia" w:ascii="黑体" w:hAnsi="黑体" w:eastAsia="黑体" w:cs="黑体"/>
          <w:sz w:val="32"/>
          <w:highlight w:val="none"/>
          <w:lang w:val="en-US" w:eastAsia="zh-CN"/>
        </w:rPr>
        <w:t>三、</w:t>
      </w:r>
      <w:r>
        <w:rPr>
          <w:rFonts w:hint="default" w:ascii="黑体" w:hAnsi="黑体" w:eastAsia="黑体" w:cs="黑体"/>
          <w:sz w:val="32"/>
          <w:highlight w:val="none"/>
          <w:lang w:val="en-US" w:eastAsia="zh-CN"/>
        </w:rPr>
        <w:t>组织实施有效</w:t>
      </w:r>
      <w:bookmarkEnd w:id="21"/>
      <w:bookmarkEnd w:id="22"/>
      <w:bookmarkEnd w:id="23"/>
    </w:p>
    <w:p w14:paraId="67EAB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1.</w:t>
      </w:r>
      <w:r>
        <w:rPr>
          <w:rFonts w:hint="default" w:ascii="仿宋_GB2312" w:hAnsi="仿宋_GB2312" w:eastAsia="仿宋_GB2312"/>
          <w:sz w:val="32"/>
          <w:highlight w:val="none"/>
        </w:rPr>
        <w:t>项目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是否</w:t>
      </w:r>
      <w:r>
        <w:rPr>
          <w:rFonts w:hint="default" w:ascii="仿宋_GB2312" w:hAnsi="仿宋_GB2312" w:eastAsia="仿宋_GB2312"/>
          <w:sz w:val="32"/>
          <w:highlight w:val="none"/>
        </w:rPr>
        <w:t>有完备的管理方案，明确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的</w:t>
      </w:r>
      <w:r>
        <w:rPr>
          <w:rFonts w:hint="default" w:ascii="仿宋_GB2312" w:hAnsi="仿宋_GB2312" w:eastAsia="仿宋_GB2312"/>
          <w:sz w:val="32"/>
          <w:highlight w:val="none"/>
        </w:rPr>
        <w:t>目标任务</w:t>
      </w:r>
      <w:r>
        <w:rPr>
          <w:rFonts w:hint="eastAsia"/>
          <w:sz w:val="32"/>
          <w:highlight w:val="none"/>
          <w:lang w:eastAsia="zh-CN"/>
        </w:rPr>
        <w:t>、</w:t>
      </w:r>
      <w:r>
        <w:rPr>
          <w:rFonts w:hint="default" w:ascii="仿宋_GB2312" w:hAnsi="仿宋_GB2312" w:eastAsia="仿宋_GB2312"/>
          <w:sz w:val="32"/>
          <w:highlight w:val="none"/>
        </w:rPr>
        <w:t>举措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资源配置、项目团队、责任分工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及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服务保障等要求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；</w:t>
      </w:r>
    </w:p>
    <w:p w14:paraId="1CCA2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2.有无</w:t>
      </w:r>
      <w:r>
        <w:rPr>
          <w:rFonts w:hint="default" w:ascii="仿宋_GB2312" w:hAnsi="仿宋_GB2312" w:eastAsia="仿宋_GB2312"/>
          <w:sz w:val="32"/>
          <w:highlight w:val="none"/>
        </w:rPr>
        <w:t>对相关技术、管理、信息工作建立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的</w:t>
      </w:r>
      <w:r>
        <w:rPr>
          <w:rFonts w:hint="default" w:ascii="仿宋_GB2312" w:hAnsi="仿宋_GB2312" w:eastAsia="仿宋_GB2312"/>
          <w:sz w:val="32"/>
          <w:highlight w:val="none"/>
        </w:rPr>
        <w:t>制度规范；</w:t>
      </w:r>
    </w:p>
    <w:p w14:paraId="68A29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3.是否项目整体</w:t>
      </w:r>
      <w:r>
        <w:rPr>
          <w:rFonts w:hint="default" w:ascii="仿宋_GB2312" w:hAnsi="仿宋_GB2312" w:eastAsia="仿宋_GB2312"/>
          <w:sz w:val="32"/>
          <w:highlight w:val="none"/>
        </w:rPr>
        <w:t>开展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情况</w:t>
      </w:r>
      <w:r>
        <w:rPr>
          <w:rFonts w:hint="default" w:ascii="仿宋_GB2312" w:hAnsi="仿宋_GB2312" w:eastAsia="仿宋_GB2312"/>
          <w:sz w:val="32"/>
          <w:highlight w:val="none"/>
        </w:rPr>
        <w:t>进行总结评价，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项目的实施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是否</w:t>
      </w:r>
      <w:r>
        <w:rPr>
          <w:rFonts w:hint="default" w:ascii="仿宋_GB2312" w:hAnsi="仿宋_GB2312" w:eastAsia="仿宋_GB2312"/>
          <w:sz w:val="32"/>
          <w:highlight w:val="none"/>
        </w:rPr>
        <w:t>具有协同性、公益性、普惠性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等</w:t>
      </w:r>
      <w:r>
        <w:rPr>
          <w:rFonts w:hint="default" w:ascii="仿宋_GB2312" w:hAnsi="仿宋_GB2312" w:eastAsia="仿宋_GB2312"/>
          <w:sz w:val="32"/>
          <w:highlight w:val="none"/>
        </w:rPr>
        <w:t>。</w:t>
      </w:r>
    </w:p>
    <w:p w14:paraId="7C154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highlight w:val="none"/>
          <w:lang w:val="en-US" w:eastAsia="zh-CN"/>
        </w:rPr>
      </w:pPr>
      <w:bookmarkStart w:id="24" w:name="_Toc1972783741_WPSOffice_Level1"/>
      <w:bookmarkStart w:id="25" w:name="_Toc1262616565_WPSOffice_Level1"/>
      <w:bookmarkStart w:id="26" w:name="_Toc1071146699_WPSOffice_Level1"/>
      <w:r>
        <w:rPr>
          <w:rFonts w:hint="eastAsia" w:ascii="黑体" w:hAnsi="黑体" w:eastAsia="黑体" w:cs="黑体"/>
          <w:sz w:val="32"/>
          <w:highlight w:val="none"/>
          <w:lang w:val="en-US" w:eastAsia="zh-CN"/>
        </w:rPr>
        <w:t>四、</w:t>
      </w:r>
      <w:r>
        <w:rPr>
          <w:rFonts w:hint="default" w:ascii="黑体" w:hAnsi="黑体" w:eastAsia="黑体" w:cs="黑体"/>
          <w:sz w:val="32"/>
          <w:highlight w:val="none"/>
          <w:lang w:val="en-US" w:eastAsia="zh-CN"/>
        </w:rPr>
        <w:t>社会效应明显</w:t>
      </w:r>
      <w:bookmarkEnd w:id="24"/>
      <w:bookmarkEnd w:id="25"/>
      <w:bookmarkEnd w:id="26"/>
    </w:p>
    <w:p w14:paraId="0F0FF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1.涉领域重点企业或组织覆盖率不低于50%,或覆盖公众不少于5000人次</w:t>
      </w:r>
      <w:r>
        <w:rPr>
          <w:rFonts w:hint="default" w:ascii="仿宋_GB2312" w:hAnsi="仿宋_GB2312" w:eastAsia="仿宋_GB2312"/>
          <w:sz w:val="32"/>
          <w:highlight w:val="none"/>
          <w:lang w:val="en-US" w:eastAsia="zh-CN"/>
        </w:rPr>
        <w:t>；</w:t>
      </w:r>
    </w:p>
    <w:p w14:paraId="7C62EA3B">
      <w:pPr>
        <w:pageBreakBefore w:val="0"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2.说明活动的实施对推动专业性、行业性、区域性品牌建设的促进作用；推行应用的先进质量标准、服务规范、技能评定或认证规则并产生不少于3个典型经验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涉及用户体验的满意率调查不低于80%</w:t>
      </w:r>
      <w:r>
        <w:rPr>
          <w:rFonts w:hint="default" w:ascii="仿宋_GB2312" w:hAnsi="仿宋_GB2312" w:eastAsia="仿宋_GB2312"/>
          <w:sz w:val="32"/>
          <w:highlight w:val="none"/>
          <w:lang w:val="en-US" w:eastAsia="zh-CN"/>
        </w:rPr>
        <w:t>;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或着眼于各行业名品、名园、名店、名街、名医、名胜、名展、名师、名家荟萃，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发掘一批质量上乘、服务精良、技术过硬、社会口碑良好的品牌,相应发布了榜单或报告,且经2家以上有影响力的媒体进行宣传报道</w:t>
      </w:r>
      <w:r>
        <w:rPr>
          <w:rFonts w:hint="default" w:ascii="仿宋_GB2312" w:hAnsi="仿宋_GB2312" w:eastAsia="仿宋_GB2312"/>
          <w:sz w:val="32"/>
          <w:highlight w:val="none"/>
          <w:lang w:eastAsia="zh-CN"/>
        </w:rPr>
        <w:t>。</w:t>
      </w:r>
    </w:p>
    <w:bookmarkEnd w:id="14"/>
    <w:p w14:paraId="30C0216C">
      <w:pPr>
        <w:pageBreakBefore w:val="0"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  <w:highlight w:val="none"/>
          <w:lang w:val="en-US" w:eastAsia="zh-CN"/>
        </w:rPr>
      </w:pPr>
    </w:p>
    <w:p w14:paraId="4142208B">
      <w:pPr>
        <w:pageBreakBefore w:val="0"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sz w:val="32"/>
          <w:highlight w:val="none"/>
        </w:rPr>
      </w:pPr>
    </w:p>
    <w:p w14:paraId="3A5A72E9">
      <w:pPr>
        <w:pageBreakBefore w:val="0"/>
        <w:numPr>
          <w:ilvl w:val="0"/>
          <w:numId w:val="0"/>
        </w:numPr>
        <w:wordWrap/>
        <w:topLinePunct w:val="0"/>
        <w:bidi w:val="0"/>
        <w:spacing w:line="560" w:lineRule="exact"/>
        <w:ind w:leftChars="0" w:firstLine="440" w:firstLineChars="200"/>
        <w:jc w:val="right"/>
        <w:textAlignment w:val="auto"/>
        <w:rPr>
          <w:rFonts w:hint="default" w:ascii="仿宋_GB2312" w:hAnsi="仿宋_GB2312" w:eastAsia="仿宋_GB2312"/>
          <w:sz w:val="22"/>
          <w:szCs w:val="28"/>
          <w:highlight w:val="none"/>
        </w:rPr>
      </w:pPr>
    </w:p>
    <w:p w14:paraId="7C37DC0C">
      <w:pPr>
        <w:pageBreakBefore w:val="0"/>
        <w:numPr>
          <w:ilvl w:val="0"/>
          <w:numId w:val="0"/>
        </w:numPr>
        <w:wordWrap/>
        <w:topLinePunct w:val="0"/>
        <w:bidi w:val="0"/>
        <w:spacing w:line="560" w:lineRule="exact"/>
        <w:ind w:leftChars="0" w:firstLine="440" w:firstLineChars="200"/>
        <w:jc w:val="right"/>
        <w:textAlignment w:val="auto"/>
        <w:rPr>
          <w:rFonts w:hint="default" w:ascii="仿宋_GB2312" w:hAnsi="仿宋_GB2312" w:eastAsia="仿宋_GB2312"/>
          <w:sz w:val="22"/>
          <w:szCs w:val="28"/>
          <w:highlight w:val="none"/>
        </w:rPr>
      </w:pPr>
    </w:p>
    <w:p w14:paraId="0B485CBF">
      <w:pPr>
        <w:pageBreakBefore w:val="0"/>
        <w:numPr>
          <w:ilvl w:val="0"/>
          <w:numId w:val="0"/>
        </w:numPr>
        <w:wordWrap/>
        <w:topLinePunct w:val="0"/>
        <w:bidi w:val="0"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申报单位（盖章）：</w:t>
      </w:r>
    </w:p>
    <w:p w14:paraId="2DD037C1">
      <w:pPr>
        <w:pageBreakBefore w:val="0"/>
        <w:numPr>
          <w:ilvl w:val="0"/>
          <w:numId w:val="0"/>
        </w:numPr>
        <w:wordWrap w:val="0"/>
        <w:topLinePunct w:val="0"/>
        <w:bidi w:val="0"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日期：  年  月  日</w:t>
      </w:r>
    </w:p>
    <w:p w14:paraId="2F32619A">
      <w:r>
        <w:rPr>
          <w:rFonts w:hint="default"/>
          <w:highlight w:val="none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FFE4E17"/>
    <w:rsid w:val="0D0B7276"/>
    <w:rsid w:val="1504288A"/>
    <w:rsid w:val="277F46C1"/>
    <w:rsid w:val="3FFE4E17"/>
    <w:rsid w:val="469A1E62"/>
    <w:rsid w:val="4BC1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1">
    <w:name w:val="footnote reference"/>
    <w:basedOn w:val="10"/>
    <w:unhideWhenUsed/>
    <w:qFormat/>
    <w:uiPriority w:val="99"/>
    <w:rPr>
      <w:vertAlign w:val="superscript"/>
    </w:rPr>
  </w:style>
  <w:style w:type="paragraph" w:customStyle="1" w:styleId="12">
    <w:name w:val="K正文"/>
    <w:basedOn w:val="1"/>
    <w:qFormat/>
    <w:uiPriority w:val="0"/>
  </w:style>
  <w:style w:type="paragraph" w:customStyle="1" w:styleId="13">
    <w:name w:val="BodyText1I"/>
    <w:basedOn w:val="14"/>
    <w:qFormat/>
    <w:uiPriority w:val="0"/>
    <w:pPr>
      <w:ind w:firstLine="420" w:firstLineChars="100"/>
    </w:pPr>
  </w:style>
  <w:style w:type="paragraph" w:customStyle="1" w:styleId="14">
    <w:name w:val="BodyText"/>
    <w:basedOn w:val="1"/>
    <w:qFormat/>
    <w:uiPriority w:val="0"/>
    <w:pPr>
      <w:spacing w:after="12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2024-11-18T09:21:00Z</dcterms:created>
  <dc:creator>柒芪杞讫</dc:creator>
  <cp:lastModifiedBy>柒芪杞讫</cp:lastModifiedBy>
  <dcterms:modified xsi:type="dcterms:W3CDTF">2024-11-18T09:34:42Z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0E114D2389F34F8EBE9DBABD6AA9E66E_13</vt:lpwstr>
  </property>
</Properties>
</file>