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Lines="0" w:afterLines="0" w:line="560" w:lineRule="exact"/>
        <w:textAlignment w:val="auto"/>
        <w:outlineLvl w:val="0"/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default" w:ascii="黑体" w:hAnsi="黑体" w:eastAsia="黑体" w:cs="黑体"/>
          <w:kern w:val="44"/>
          <w:sz w:val="32"/>
          <w:szCs w:val="32"/>
          <w:lang w:val="en-US" w:eastAsia="zh-CN" w:bidi="ar"/>
        </w:rPr>
        <w:t>1-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5</w:t>
      </w:r>
    </w:p>
    <w:p>
      <w:pPr>
        <w:widowControl/>
        <w:adjustRightInd w:val="0"/>
        <w:snapToGrid w:val="0"/>
        <w:spacing w:before="0" w:beforeLines="0" w:afterLines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bookmarkStart w:id="0" w:name="_GoBack"/>
      <w:bookmarkEnd w:id="0"/>
    </w:p>
    <w:p>
      <w:pPr>
        <w:widowControl/>
        <w:adjustRightInd w:val="0"/>
        <w:snapToGrid w:val="0"/>
        <w:spacing w:before="0" w:beforeLines="0" w:afterLines="0" w:line="560" w:lineRule="exact"/>
        <w:jc w:val="center"/>
        <w:textAlignment w:val="auto"/>
        <w:outlineLvl w:val="0"/>
        <w:rPr>
          <w:rFonts w:hint="default" w:ascii="黑体" w:hAnsi="黑体" w:eastAsia="黑体" w:cs="黑体"/>
          <w:kern w:val="44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工业企业含VOCs原辅材料实际用量统计表</w:t>
      </w:r>
    </w:p>
    <w:tbl>
      <w:tblPr>
        <w:tblStyle w:val="2"/>
        <w:tblW w:w="4995" w:type="pct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32"/>
        <w:gridCol w:w="932"/>
        <w:gridCol w:w="932"/>
        <w:gridCol w:w="940"/>
        <w:gridCol w:w="1119"/>
        <w:gridCol w:w="1269"/>
        <w:gridCol w:w="1014"/>
        <w:gridCol w:w="1014"/>
        <w:gridCol w:w="1181"/>
        <w:gridCol w:w="937"/>
        <w:gridCol w:w="949"/>
        <w:gridCol w:w="954"/>
        <w:gridCol w:w="105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企业名称（盖章）：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 xml:space="preserve">     填报人：               项目名称：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记录日期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出库日期</w:t>
            </w:r>
          </w:p>
        </w:tc>
        <w:tc>
          <w:tcPr>
            <w:tcW w:w="2966" w:type="pct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含VOCs原辅材料实际使用量统计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33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产品产量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vertAlign w:val="superscript"/>
                <w:lang w:val="en-US" w:eastAsia="zh-CN" w:bidi="ar"/>
              </w:rPr>
              <w:t>c</w:t>
            </w:r>
          </w:p>
        </w:tc>
        <w:tc>
          <w:tcPr>
            <w:tcW w:w="3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产品产量单位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备注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vertAlign w:val="superscript"/>
                <w:lang w:val="en-US" w:eastAsia="zh-CN" w:bidi="ar"/>
              </w:rPr>
              <w:t>d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2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原辅材料分类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vertAlign w:val="superscript"/>
                <w:lang w:bidi="ar"/>
              </w:rPr>
              <w:t>a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</w:t>
            </w:r>
          </w:p>
        </w:tc>
        <w:tc>
          <w:tcPr>
            <w:tcW w:w="39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原辅材料实际使用量（吨）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原辅材料密度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lang w:bidi="ar"/>
              </w:rPr>
              <w:t>VOCs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含量检测值</w:t>
            </w: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原辅材料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lang w:bidi="ar"/>
              </w:rPr>
              <w:t>VOCs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含量计量单位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lang w:bidi="ar"/>
              </w:rPr>
              <w:t>VOCs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产生量（吨）</w:t>
            </w:r>
          </w:p>
        </w:tc>
        <w:tc>
          <w:tcPr>
            <w:tcW w:w="3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2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厂家</w:t>
            </w: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9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  <w:lang w:bidi="ar"/>
              </w:rPr>
              <w:t>g/L</w:t>
            </w:r>
            <w:r>
              <w:rPr>
                <w:rFonts w:hint="eastAsia" w:ascii="仿宋_GB2312" w:hAnsi="Times New Roman" w:eastAsia="仿宋_GB2312" w:cs="宋体"/>
                <w:b w:val="0"/>
                <w:color w:val="auto"/>
                <w:sz w:val="28"/>
                <w:szCs w:val="28"/>
                <w:lang w:bidi="ar"/>
              </w:rPr>
              <w:t>）</w:t>
            </w:r>
          </w:p>
        </w:tc>
        <w:tc>
          <w:tcPr>
            <w:tcW w:w="35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仿宋_GB2312" w:hAnsi="Times New Roman" w:eastAsia="仿宋_GB2312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b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3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仿宋_GB2312" w:hAnsi="Times New Roman" w:eastAsia="仿宋_GB2312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5000" w:type="pct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备注：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a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eastAsia="zh-CN" w:bidi="ar"/>
              </w:rPr>
              <w:t>原辅材料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分类为油墨、涂料、胶粘剂、清洗剂及其他；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630" w:firstLineChars="300"/>
              <w:jc w:val="left"/>
              <w:textAlignment w:val="auto"/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b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油墨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VOCs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含量计量单位为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%,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涂料、胶粘剂、清洗剂及其他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VOCs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含量计量单位为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bidi="ar"/>
              </w:rPr>
              <w:t>g/L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630" w:firstLineChars="300"/>
              <w:jc w:val="left"/>
              <w:textAlignment w:val="auto"/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c.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产品产量为对应原辅料下的实际产品产量，多个原辅物料生产同一个产品的可合并；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Lines="0" w:beforeAutospacing="0" w:after="0" w:afterLines="0" w:afterAutospacing="0" w:line="240" w:lineRule="auto"/>
              <w:ind w:left="0" w:right="0" w:firstLine="630" w:firstLineChars="300"/>
              <w:jc w:val="left"/>
              <w:textAlignment w:val="auto"/>
              <w:rPr>
                <w:rFonts w:hint="eastAsia" w:ascii="仿宋_GB2312" w:hAnsi="Times New Roman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d.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bidi="ar"/>
              </w:rPr>
              <w:t>如有故障、停产或错峰生产等非正常情况请备注</w:t>
            </w:r>
            <w:r>
              <w:rPr>
                <w:rFonts w:hint="eastAsia" w:ascii="仿宋_GB2312" w:hAnsi="Times New Roman" w:eastAsia="仿宋_GB2312" w:cs="宋体"/>
                <w:color w:val="auto"/>
                <w:sz w:val="21"/>
                <w:szCs w:val="21"/>
                <w:lang w:eastAsia="zh-CN"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DllMjNhMzU5MDVlNzhkZDU1NDdjOWU1OWNmNzQifQ=="/>
  </w:docVars>
  <w:rsids>
    <w:rsidRoot w:val="243E0440"/>
    <w:rsid w:val="123270BC"/>
    <w:rsid w:val="243E0440"/>
    <w:rsid w:val="658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2024-05-13T08:11:00Z</dcterms:created>
  <dc:creator>企业用户_1174981002</dc:creator>
  <cp:lastModifiedBy>123</cp:lastModifiedBy>
  <dcterms:modified xsi:type="dcterms:W3CDTF">2024-05-15T05:38:39Z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0A114E06BAF449509BAB1C2139E494C9_13</vt:lpwstr>
  </property>
</Properties>
</file>