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ind w:firstLine="0" w:firstLineChars="0"/>
        <w:outlineLvl w:val="0"/>
        <w:rPr>
          <w:rFonts w:hint="default" w:ascii="黑体" w:hAnsi="黑体" w:eastAsia="黑体" w:cs="黑体"/>
          <w:color w:val="000000"/>
          <w:kern w:val="44"/>
          <w:sz w:val="32"/>
          <w:szCs w:val="32"/>
          <w:lang w:val="en-US" w:eastAsia="zh-CN" w:bidi="ar"/>
        </w:rPr>
      </w:pPr>
      <w:bookmarkStart w:id="0" w:name="_Toc4870"/>
      <w:bookmarkStart w:id="1" w:name="_Toc29924"/>
      <w:bookmarkStart w:id="2" w:name="_Toc29425"/>
      <w:bookmarkStart w:id="3" w:name="_Toc24010"/>
      <w:bookmarkStart w:id="4" w:name="_Toc339"/>
      <w:bookmarkStart w:id="5" w:name="_Toc16623"/>
      <w:r>
        <w:rPr>
          <w:rFonts w:hint="default" w:ascii="黑体" w:hAnsi="黑体" w:eastAsia="黑体" w:cs="黑体"/>
          <w:color w:val="000000"/>
          <w:kern w:val="44"/>
          <w:sz w:val="32"/>
          <w:szCs w:val="32"/>
          <w:lang w:bidi="ar"/>
        </w:rPr>
        <w:t>附件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color w:val="000000"/>
          <w:kern w:val="44"/>
          <w:sz w:val="32"/>
          <w:szCs w:val="32"/>
          <w:lang w:val="en-US" w:eastAsia="zh-CN" w:bidi="ar"/>
        </w:rPr>
        <w:t>1-1</w:t>
      </w:r>
    </w:p>
    <w:p>
      <w:pPr>
        <w:adjustRightInd w:val="0"/>
        <w:snapToGrid w:val="0"/>
        <w:spacing w:before="0" w:beforeLines="0" w:after="0" w:afterLines="0" w:line="56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bookmarkStart w:id="6" w:name="_Toc17166"/>
      <w:bookmarkStart w:id="7" w:name="_Toc7884"/>
      <w:bookmarkStart w:id="8" w:name="_Toc7741"/>
      <w:bookmarkStart w:id="9" w:name="_Toc28073"/>
      <w:bookmarkStart w:id="10" w:name="_Toc7047"/>
      <w:bookmarkStart w:id="11" w:name="_Toc16726"/>
    </w:p>
    <w:p>
      <w:pPr>
        <w:adjustRightInd w:val="0"/>
        <w:snapToGrid w:val="0"/>
        <w:spacing w:before="0" w:beforeLines="0" w:after="0" w:afterLines="0" w:line="56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bidi="ar"/>
        </w:rPr>
        <w:t>含VOCs原辅材料含量限值要求</w:t>
      </w:r>
      <w:bookmarkEnd w:id="6"/>
      <w:bookmarkEnd w:id="7"/>
      <w:bookmarkEnd w:id="8"/>
      <w:bookmarkEnd w:id="9"/>
      <w:bookmarkEnd w:id="10"/>
      <w:bookmarkEnd w:id="11"/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80"/>
        <w:gridCol w:w="3780"/>
        <w:gridCol w:w="2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原辅材料类别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VOCs含量限值要求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低</w:t>
            </w:r>
            <w:bookmarkStart w:id="12" w:name="_GoBack"/>
            <w:bookmarkEnd w:id="12"/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VOCs含量限值要求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涂料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1.符合国家已发布的涂料产品中有害物质限量标准限值要求，如《玩具用涂料中有害物质限量》（GB 24613—2009）、《船舶涂料中有害物质限量》（GB 38469—2019）、《木器涂料中有害物质限量》（GB 18581—2020）、《车辆涂料中有害物质限量》（GB 24409—2020）、《工业防护涂料中有害物质限量》（GB 30981—2020）等。如国家新制（修）订涉涂料产品中有害物质限量标准，所使用的涂料VOCs含量也应满足相关规定；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2.符合《低挥发性有机物含量涂料技术规范》（SZJG 54-2017）中有害物质限量标准限值要求；若因技术原因无法满足SZJG 54-2017中VOCs含量限值要求的，应提供实施改造实验的相关材料与证据，并由行业协会组织行业领域专家、涂料供应商等出具鉴定意见；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3.家具制造业还应符合《家具成品及原辅材料中有害物质限量》（SZJG 52—2016）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1.符合《低挥发性有机化合物涂料产品技术要求》（GB/T 38597—2020）规定的溶剂型、水性、无溶剂、辐射固化涂料要求；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2.若《低挥发性有机化合物涂料产品技术要求》（GB/T 38597—2020）中无对应的涂料产品低VOCs含量限值要求，应提供实施所使用的涂料VOCs含量在该领域符合低VOCs含量水平的相关材料与证据，并由行业协会组织行业领域专家、涂料供应商等出具鉴定意见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油墨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《油墨中可挥发性有机化合物（VOCs）含量的限值》（GB 38507—2020）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符合《油墨中可挥发性有机化合物（VOCs）含量的限值》（GB 38507—2020）规定的水性油墨、胶印油墨、能量固化油墨、雕刻凹印油墨要求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胶粘剂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1.《胶粘剂挥发性有机化合物限量》（GB 33372—2020）；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2.制鞋行业还应符合《鞋和箱包用胶粘剂》（GB 19340-2014）；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3.家具制造业还应符合《家具成品及原辅材料中有害物质限量》（SZJG 52—2016）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符合《胶粘剂挥发性有机化合物限量》（GB 33372—2020）规定的水基型、本体型胶粘剂要求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清洗剂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《清洗剂挥发性有机化合物含量限值》（GB 38508—2020）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符合《清洗剂挥发性有机化合物含量限值》（GB 38508—2020）规定的水基、低VOCs含量半水基清洗剂要求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其他原辅材料</w:t>
            </w:r>
          </w:p>
        </w:tc>
        <w:tc>
          <w:tcPr>
            <w:tcW w:w="22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/</w:t>
            </w:r>
          </w:p>
        </w:tc>
        <w:tc>
          <w:tcPr>
            <w:tcW w:w="1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符合《挥发性有机物无组织排放控制标准》（GB 37822—2019）规定的VOCs质量占比小于10%的要求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1314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仿宋_GB2312" w:cs="Times New Roman"/>
        <w:kern w:val="2"/>
        <w:sz w:val="18"/>
        <w:szCs w:val="18"/>
        <w:lang w:val="en-US" w:eastAsia="zh-CN" w:bidi="ar-S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DllMjNhMzU5MDVlNzhkZDU1NDdjOWU1OWNmNzQifQ=="/>
  </w:docVars>
  <w:rsids>
    <w:rsidRoot w:val="18A55D9A"/>
    <w:rsid w:val="0C80431A"/>
    <w:rsid w:val="18A55D9A"/>
    <w:rsid w:val="47A45B98"/>
    <w:rsid w:val="7871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2024-05-14T07:57:00Z</dcterms:created>
  <dc:creator>企业用户_1174981002</dc:creator>
  <cp:lastModifiedBy>123</cp:lastModifiedBy>
  <dcterms:modified xsi:type="dcterms:W3CDTF">2024-05-15T05:42:24Z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27B3A28709E84375B39D4D00E337BF7C_13</vt:lpwstr>
  </property>
</Properties>
</file>