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both"/>
        <w:rPr>
          <w:rFonts w:hint="eastAsia" w:ascii="方正小标宋_GBK" w:hAnsi="宋体" w:eastAsia="方正小标宋_GBK"/>
          <w:sz w:val="44"/>
          <w:szCs w:val="44"/>
          <w:lang w:eastAsia="zh-CN"/>
        </w:rPr>
      </w:pPr>
    </w:p>
    <w:p>
      <w:pPr>
        <w:spacing w:after="0" w:line="560" w:lineRule="exact"/>
        <w:contextualSpacing/>
        <w:jc w:val="both"/>
        <w:rPr>
          <w:rFonts w:ascii="方正小标宋_GBK" w:hAnsi="宋体" w:eastAsia="方正小标宋_GBK"/>
          <w:sz w:val="44"/>
          <w:szCs w:val="44"/>
          <w:lang w:eastAsia="zh-CN"/>
        </w:rPr>
      </w:pPr>
      <w:r>
        <w:rPr>
          <w:rFonts w:hint="eastAsia" w:ascii="方正小标宋_GBK" w:hAnsi="宋体" w:eastAsia="方正小标宋_GBK"/>
          <w:sz w:val="44"/>
          <w:szCs w:val="44"/>
          <w:lang w:eastAsia="zh-CN"/>
        </w:rPr>
        <w:t>南山区促进产业高质量发展专项资金——</w:t>
      </w:r>
    </w:p>
    <w:p>
      <w:pPr>
        <w:spacing w:after="0" w:line="560" w:lineRule="exact"/>
        <w:contextualSpacing/>
        <w:jc w:val="center"/>
        <w:outlineLvl w:val="0"/>
        <w:rPr>
          <w:rFonts w:hint="eastAsia" w:ascii="方正小标宋_GBK" w:hAnsi="宋体" w:eastAsia="方正小标宋_GBK" w:cs="宋体"/>
          <w:bCs/>
          <w:color w:val="000000"/>
          <w:sz w:val="44"/>
          <w:szCs w:val="44"/>
          <w:lang w:eastAsia="zh-CN" w:bidi="ar-SA"/>
        </w:rPr>
      </w:pPr>
      <w:r>
        <w:rPr>
          <w:rFonts w:hint="eastAsia" w:ascii="方正小标宋_GBK" w:hAnsi="宋体" w:eastAsia="方正小标宋_GBK"/>
          <w:sz w:val="44"/>
          <w:szCs w:val="44"/>
          <w:lang w:eastAsia="zh-CN"/>
        </w:rPr>
        <w:t>区科技创新局分项资金科技型</w:t>
      </w:r>
      <w:r>
        <w:rPr>
          <w:rFonts w:hint="eastAsia" w:ascii="方正小标宋_GBK" w:hAnsi="宋体" w:eastAsia="方正小标宋_GBK" w:cs="宋体"/>
          <w:bCs/>
          <w:color w:val="000000"/>
          <w:sz w:val="44"/>
          <w:szCs w:val="44"/>
          <w:lang w:eastAsia="zh-CN" w:bidi="ar-SA"/>
        </w:rPr>
        <w:t>企业研发</w:t>
      </w:r>
    </w:p>
    <w:p>
      <w:pPr>
        <w:spacing w:after="0" w:line="560" w:lineRule="exact"/>
        <w:contextualSpacing/>
        <w:jc w:val="center"/>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投入支持计划操作规程</w:t>
      </w:r>
    </w:p>
    <w:p>
      <w:pPr>
        <w:spacing w:after="0" w:line="560" w:lineRule="exact"/>
        <w:outlineLvl w:val="0"/>
        <w:rPr>
          <w:rFonts w:hint="eastAsia" w:ascii="黑体" w:hAnsi="黑体" w:eastAsia="黑体" w:cs="黑体"/>
          <w:bCs/>
          <w:kern w:val="2"/>
          <w:sz w:val="32"/>
          <w:szCs w:val="32"/>
          <w:lang w:eastAsia="zh-CN" w:bidi="ar-SA"/>
        </w:rPr>
      </w:pPr>
    </w:p>
    <w:p>
      <w:pPr>
        <w:spacing w:after="0" w:line="560" w:lineRule="exact"/>
        <w:ind w:firstLine="640" w:firstLineChars="200"/>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adjustRightInd w:val="0"/>
        <w:snapToGrid w:val="0"/>
        <w:spacing w:after="0"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（一）企业研发高成长支持</w:t>
      </w:r>
    </w:p>
    <w:p>
      <w:pPr>
        <w:adjustRightInd w:val="0"/>
        <w:snapToGrid w:val="0"/>
        <w:spacing w:after="0"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对研发投入费用及增速情况符合条件的研发统计核算企业，按照其上一年度扣除委托外部研究开发费用，每年最高资助200万元。</w:t>
      </w:r>
    </w:p>
    <w:p>
      <w:pPr>
        <w:adjustRightInd w:val="0"/>
        <w:snapToGrid w:val="0"/>
        <w:spacing w:after="0"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（二）企业研发新入库支持</w:t>
      </w:r>
    </w:p>
    <w:p>
      <w:pPr>
        <w:adjustRightInd w:val="0"/>
        <w:snapToGrid w:val="0"/>
        <w:spacing w:after="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对新纳入研发统计核算的企业，按照其上一年度扣除委托外部研究开发费用，每年最高资助50万元。</w:t>
      </w:r>
    </w:p>
    <w:p>
      <w:pPr>
        <w:numPr>
          <w:ilvl w:val="0"/>
          <w:numId w:val="1"/>
        </w:numPr>
        <w:spacing w:after="0" w:line="560" w:lineRule="exact"/>
        <w:ind w:firstLine="640" w:firstLineChars="200"/>
        <w:jc w:val="both"/>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资助标准</w:t>
      </w:r>
    </w:p>
    <w:p>
      <w:pPr>
        <w:adjustRightInd w:val="0"/>
        <w:snapToGrid w:val="0"/>
        <w:spacing w:after="0"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根据</w:t>
      </w:r>
      <w:r>
        <w:rPr>
          <w:rFonts w:hint="eastAsia" w:ascii="仿宋_GB2312" w:eastAsia="仿宋_GB2312"/>
          <w:sz w:val="32"/>
          <w:szCs w:val="32"/>
          <w:lang w:eastAsia="zh-CN"/>
        </w:rPr>
        <w:t>2023</w:t>
      </w:r>
      <w:r>
        <w:rPr>
          <w:rFonts w:ascii="仿宋_GB2312" w:eastAsia="仿宋_GB2312"/>
          <w:sz w:val="32"/>
          <w:szCs w:val="32"/>
          <w:lang w:eastAsia="zh-CN"/>
        </w:rPr>
        <w:t>年度</w:t>
      </w:r>
      <w:r>
        <w:rPr>
          <w:rFonts w:hint="eastAsia" w:ascii="仿宋_GB2312" w:eastAsia="仿宋_GB2312"/>
          <w:sz w:val="32"/>
          <w:szCs w:val="32"/>
          <w:lang w:eastAsia="zh-CN"/>
        </w:rPr>
        <w:t>研发统计年报的研发费用、增速情况</w:t>
      </w:r>
      <w:r>
        <w:rPr>
          <w:rFonts w:ascii="仿宋_GB2312" w:eastAsia="仿宋_GB2312"/>
          <w:sz w:val="32"/>
          <w:szCs w:val="32"/>
          <w:lang w:eastAsia="zh-CN"/>
        </w:rPr>
        <w:t>数据</w:t>
      </w:r>
      <w:r>
        <w:rPr>
          <w:rFonts w:hint="eastAsia" w:ascii="仿宋_GB2312" w:eastAsia="仿宋_GB2312"/>
          <w:sz w:val="32"/>
          <w:szCs w:val="32"/>
          <w:lang w:eastAsia="zh-CN"/>
        </w:rPr>
        <w:t>、自主创新情况</w:t>
      </w:r>
      <w:r>
        <w:rPr>
          <w:rFonts w:ascii="仿宋_GB2312" w:eastAsia="仿宋_GB2312"/>
          <w:sz w:val="32"/>
          <w:szCs w:val="32"/>
          <w:lang w:eastAsia="zh-CN"/>
        </w:rPr>
        <w:t>给予综合考核，并根据考核结果分档次给予相应资助</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本资助计划资助金额受区科技资金年度总额控制</w:t>
      </w:r>
      <w:r>
        <w:rPr>
          <w:rFonts w:hint="eastAsia" w:ascii="仿宋_GB2312" w:eastAsia="仿宋_GB2312"/>
          <w:sz w:val="32"/>
          <w:szCs w:val="32"/>
          <w:lang w:eastAsia="zh-CN"/>
        </w:rPr>
        <w:t>,</w:t>
      </w:r>
      <w:r>
        <w:rPr>
          <w:rFonts w:ascii="仿宋_GB2312" w:eastAsia="仿宋_GB2312"/>
          <w:sz w:val="32"/>
          <w:szCs w:val="32"/>
          <w:lang w:eastAsia="zh-CN"/>
        </w:rPr>
        <w:t>资助标准如下：</w:t>
      </w:r>
    </w:p>
    <w:p>
      <w:pPr>
        <w:numPr>
          <w:ilvl w:val="0"/>
          <w:numId w:val="2"/>
        </w:numPr>
        <w:adjustRightInd w:val="0"/>
        <w:snapToGrid w:val="0"/>
        <w:spacing w:after="0"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企业研发高成长支持</w:t>
      </w:r>
    </w:p>
    <w:p>
      <w:pPr>
        <w:pStyle w:val="2"/>
        <w:ind w:firstLine="0" w:firstLineChars="0"/>
        <w:rPr>
          <w:rFonts w:hint="eastAsia" w:ascii="仿宋_GB2312"/>
          <w:szCs w:val="32"/>
          <w:highlight w:val="none"/>
        </w:rPr>
      </w:pPr>
      <w:r>
        <w:rPr>
          <w:rFonts w:hint="eastAsia" w:ascii="仿宋_GB2312"/>
          <w:kern w:val="0"/>
          <w:szCs w:val="32"/>
          <w:lang w:bidi="en-US"/>
        </w:rPr>
        <w:t xml:space="preserve">    </w:t>
      </w:r>
      <w:r>
        <w:rPr>
          <w:rFonts w:hint="eastAsia" w:ascii="仿宋_GB2312"/>
          <w:szCs w:val="32"/>
        </w:rPr>
        <w:t>对</w:t>
      </w:r>
      <w:r>
        <w:rPr>
          <w:rFonts w:ascii="仿宋_GB2312"/>
          <w:szCs w:val="32"/>
        </w:rPr>
        <w:t>2022</w:t>
      </w:r>
      <w:r>
        <w:rPr>
          <w:rFonts w:hint="eastAsia" w:ascii="仿宋_GB2312"/>
          <w:szCs w:val="32"/>
        </w:rPr>
        <w:t>年度、2023年度均在南山区</w:t>
      </w:r>
      <w:r>
        <w:rPr>
          <w:rFonts w:ascii="仿宋_GB2312"/>
          <w:szCs w:val="32"/>
        </w:rPr>
        <w:t>研发统计核算范畴</w:t>
      </w:r>
      <w:r>
        <w:rPr>
          <w:rFonts w:hint="eastAsia" w:ascii="仿宋_GB2312"/>
          <w:szCs w:val="32"/>
        </w:rPr>
        <w:t>，2023年度研发费用</w:t>
      </w:r>
      <w:r>
        <w:rPr>
          <w:rFonts w:hint="eastAsia" w:ascii="仿宋_GB2312"/>
          <w:szCs w:val="32"/>
          <w:highlight w:val="none"/>
          <w:lang w:val="en-US" w:eastAsia="zh-CN"/>
        </w:rPr>
        <w:t>100</w:t>
      </w:r>
      <w:r>
        <w:rPr>
          <w:rFonts w:hint="eastAsia" w:ascii="仿宋_GB2312"/>
          <w:szCs w:val="32"/>
          <w:highlight w:val="none"/>
        </w:rPr>
        <w:t>0万元</w:t>
      </w:r>
      <w:r>
        <w:rPr>
          <w:rFonts w:hint="eastAsia" w:ascii="仿宋_GB2312"/>
          <w:szCs w:val="32"/>
          <w:highlight w:val="none"/>
          <w:lang w:eastAsia="zh-CN"/>
        </w:rPr>
        <w:t>以上</w:t>
      </w:r>
      <w:r>
        <w:rPr>
          <w:rFonts w:hint="eastAsia" w:ascii="仿宋_GB2312"/>
          <w:szCs w:val="32"/>
          <w:highlight w:val="none"/>
        </w:rPr>
        <w:t>（含本数），且目前统计核算在库的企业，按下表分档予以资助。</w:t>
      </w:r>
    </w:p>
    <w:p>
      <w:pPr>
        <w:pStyle w:val="2"/>
        <w:ind w:firstLine="0" w:firstLineChars="0"/>
        <w:rPr>
          <w:rFonts w:ascii="仿宋_GB2312"/>
          <w:szCs w:val="32"/>
          <w:highlight w:val="none"/>
        </w:rPr>
      </w:pPr>
    </w:p>
    <w:p>
      <w:pPr>
        <w:pStyle w:val="2"/>
        <w:ind w:firstLine="0" w:firstLineChars="0"/>
        <w:rPr>
          <w:rFonts w:ascii="仿宋_GB2312"/>
          <w:szCs w:val="32"/>
          <w:highlight w:val="none"/>
        </w:rPr>
      </w:pPr>
    </w:p>
    <w:tbl>
      <w:tblPr>
        <w:tblStyle w:val="5"/>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2265"/>
        <w:gridCol w:w="162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2"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上年度研发费用</w:t>
            </w:r>
          </w:p>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（用X表示）</w:t>
            </w:r>
          </w:p>
        </w:tc>
        <w:tc>
          <w:tcPr>
            <w:tcW w:w="2265"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上年度研发费用增速（用Y表示）</w:t>
            </w:r>
          </w:p>
        </w:tc>
        <w:tc>
          <w:tcPr>
            <w:tcW w:w="1620"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最高</w:t>
            </w:r>
            <w:bookmarkStart w:id="0" w:name="OLE_LINK11"/>
            <w:r>
              <w:rPr>
                <w:rFonts w:hint="eastAsia" w:ascii="仿宋_GB2312" w:hAnsi="仿宋_GB2312" w:eastAsia="仿宋_GB2312" w:cs="仿宋_GB2312"/>
                <w:b/>
                <w:color w:val="000000"/>
                <w:kern w:val="2"/>
                <w:highlight w:val="none"/>
                <w:lang w:eastAsia="zh-CN" w:bidi="ar-SA"/>
              </w:rPr>
              <w:t>奖励金额</w:t>
            </w:r>
            <w:bookmarkEnd w:id="0"/>
            <w:r>
              <w:rPr>
                <w:rFonts w:hint="eastAsia" w:ascii="仿宋_GB2312" w:hAnsi="仿宋_GB2312" w:eastAsia="仿宋_GB2312" w:cs="仿宋_GB2312"/>
                <w:b/>
                <w:color w:val="000000"/>
                <w:kern w:val="2"/>
                <w:highlight w:val="none"/>
                <w:lang w:eastAsia="zh-CN" w:bidi="ar-SA"/>
              </w:rPr>
              <w:t xml:space="preserve">   （万元）</w:t>
            </w:r>
          </w:p>
        </w:tc>
        <w:tc>
          <w:tcPr>
            <w:tcW w:w="1935"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100亿元≤X</w:t>
            </w: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200</w:t>
            </w:r>
          </w:p>
        </w:tc>
        <w:tc>
          <w:tcPr>
            <w:tcW w:w="1935" w:type="dxa"/>
            <w:vMerge w:val="restart"/>
            <w:noWrap w:val="0"/>
            <w:vAlign w:val="center"/>
          </w:tcPr>
          <w:p>
            <w:pPr>
              <w:spacing w:after="0" w:line="240" w:lineRule="auto"/>
              <w:jc w:val="left"/>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2023年度单个项目申报并获得市科技行政主管部门科技重大专项资助（资助金额超过</w:t>
            </w:r>
            <w:r>
              <w:rPr>
                <w:rFonts w:hint="eastAsia" w:ascii="仿宋_GB2312" w:hAnsi="仿宋_GB2312" w:eastAsia="仿宋_GB2312" w:cs="仿宋_GB2312"/>
                <w:bCs/>
                <w:color w:val="000000"/>
                <w:kern w:val="2"/>
                <w:highlight w:val="none"/>
                <w:lang w:val="en-US" w:eastAsia="zh-CN" w:bidi="ar-SA"/>
              </w:rPr>
              <w:t>400万元）</w:t>
            </w:r>
            <w:r>
              <w:rPr>
                <w:rFonts w:hint="eastAsia" w:ascii="仿宋_GB2312" w:hAnsi="仿宋_GB2312" w:eastAsia="仿宋_GB2312" w:cs="仿宋_GB2312"/>
                <w:bCs/>
                <w:color w:val="000000"/>
                <w:kern w:val="2"/>
                <w:highlight w:val="none"/>
                <w:lang w:eastAsia="zh-CN" w:bidi="ar-SA"/>
              </w:rPr>
              <w:t>的牵头单位，不受研发投入增速比例限制，按照对应研发费用的较高档位资助。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10亿元≤X&lt;100亿元</w:t>
            </w: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0≤Y</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5亿元≤X&lt;10亿元</w:t>
            </w: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20%≤Y</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180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265"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3%≤Y&lt;20%</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150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1亿元≤X&lt;5亿元</w:t>
            </w: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20%≤Y</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130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6%≤Y&lt;20%</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5000万元≤X&lt;1亿元</w:t>
            </w: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30%≤Y</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70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8%≤Y&lt;30%</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bookmarkStart w:id="1" w:name="OLE_LINK10"/>
            <w:r>
              <w:rPr>
                <w:rFonts w:hint="eastAsia" w:ascii="仿宋_GB2312" w:hAnsi="仿宋_GB2312" w:eastAsia="仿宋_GB2312" w:cs="仿宋_GB2312"/>
                <w:bCs/>
                <w:color w:val="000000"/>
                <w:kern w:val="2"/>
                <w:highlight w:val="none"/>
                <w:lang w:eastAsia="zh-CN" w:bidi="ar-SA"/>
              </w:rPr>
              <w:t>2000万元≤X&lt;5000万元</w:t>
            </w:r>
            <w:bookmarkEnd w:id="1"/>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30%≤Y</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40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265"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10%≤Y&lt;30%</w:t>
            </w:r>
          </w:p>
        </w:tc>
        <w:tc>
          <w:tcPr>
            <w:tcW w:w="1620"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30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712" w:type="dxa"/>
            <w:noWrap w:val="0"/>
            <w:vAlign w:val="center"/>
          </w:tcPr>
          <w:p>
            <w:pPr>
              <w:widowControl w:val="0"/>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10</w:t>
            </w:r>
            <w:r>
              <w:rPr>
                <w:rFonts w:hint="eastAsia" w:ascii="仿宋_GB2312" w:hAnsi="仿宋_GB2312" w:eastAsia="仿宋_GB2312" w:cs="仿宋_GB2312"/>
                <w:bCs/>
                <w:color w:val="000000"/>
                <w:kern w:val="2"/>
                <w:highlight w:val="none"/>
                <w:lang w:eastAsia="zh-CN" w:bidi="ar-SA"/>
              </w:rPr>
              <w:t>00万元≤X&lt;2000万元</w:t>
            </w:r>
          </w:p>
        </w:tc>
        <w:tc>
          <w:tcPr>
            <w:tcW w:w="2265" w:type="dxa"/>
            <w:noWrap w:val="0"/>
            <w:vAlign w:val="center"/>
          </w:tcPr>
          <w:p>
            <w:pPr>
              <w:widowControl w:val="0"/>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12%≤Y</w:t>
            </w:r>
          </w:p>
        </w:tc>
        <w:tc>
          <w:tcPr>
            <w:tcW w:w="1620" w:type="dxa"/>
            <w:noWrap w:val="0"/>
            <w:vAlign w:val="center"/>
          </w:tcPr>
          <w:p>
            <w:pPr>
              <w:widowControl w:val="0"/>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20</w:t>
            </w:r>
          </w:p>
        </w:tc>
        <w:tc>
          <w:tcPr>
            <w:tcW w:w="1935" w:type="dxa"/>
            <w:vMerge w:val="continue"/>
            <w:noWrap w:val="0"/>
            <w:vAlign w:val="center"/>
          </w:tcPr>
          <w:p>
            <w:pPr>
              <w:widowControl w:val="0"/>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bl>
    <w:p>
      <w:pPr>
        <w:numPr>
          <w:ilvl w:val="0"/>
          <w:numId w:val="2"/>
        </w:numPr>
        <w:adjustRightInd w:val="0"/>
        <w:snapToGrid w:val="0"/>
        <w:spacing w:after="0"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企业研发新入库支持</w:t>
      </w:r>
    </w:p>
    <w:p>
      <w:pPr>
        <w:pStyle w:val="2"/>
        <w:ind w:firstLine="640" w:firstLineChars="200"/>
        <w:rPr>
          <w:rFonts w:hint="eastAsia"/>
          <w:highlight w:val="none"/>
        </w:rPr>
      </w:pPr>
      <w:r>
        <w:rPr>
          <w:rFonts w:hint="eastAsia" w:ascii="仿宋_GB2312"/>
          <w:kern w:val="0"/>
          <w:szCs w:val="32"/>
          <w:highlight w:val="none"/>
          <w:lang w:bidi="en-US"/>
        </w:rPr>
        <w:t>对</w:t>
      </w:r>
      <w:r>
        <w:rPr>
          <w:rFonts w:hint="eastAsia" w:ascii="仿宋_GB2312"/>
          <w:szCs w:val="32"/>
          <w:highlight w:val="none"/>
        </w:rPr>
        <w:t>2023年度新入库，且研发费用</w:t>
      </w:r>
      <w:r>
        <w:rPr>
          <w:rFonts w:hint="eastAsia" w:ascii="仿宋_GB2312"/>
          <w:szCs w:val="32"/>
          <w:highlight w:val="none"/>
          <w:lang w:val="en-US" w:eastAsia="zh-CN"/>
        </w:rPr>
        <w:t>100</w:t>
      </w:r>
      <w:r>
        <w:rPr>
          <w:rFonts w:hint="eastAsia" w:ascii="仿宋_GB2312"/>
          <w:szCs w:val="32"/>
          <w:highlight w:val="none"/>
        </w:rPr>
        <w:t>0万元</w:t>
      </w:r>
      <w:r>
        <w:rPr>
          <w:rFonts w:hint="eastAsia" w:ascii="仿宋_GB2312"/>
          <w:szCs w:val="32"/>
          <w:highlight w:val="none"/>
          <w:lang w:eastAsia="zh-CN"/>
        </w:rPr>
        <w:t>以上</w:t>
      </w:r>
      <w:r>
        <w:rPr>
          <w:rFonts w:hint="eastAsia" w:ascii="仿宋_GB2312"/>
          <w:szCs w:val="32"/>
          <w:highlight w:val="none"/>
        </w:rPr>
        <w:t>（含本数）的企业，按下表予以资助。</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1566"/>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3"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上年度研发费用（用X表示）</w:t>
            </w:r>
          </w:p>
        </w:tc>
        <w:tc>
          <w:tcPr>
            <w:tcW w:w="1566"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最高资助金额   （万元）</w:t>
            </w:r>
          </w:p>
        </w:tc>
        <w:tc>
          <w:tcPr>
            <w:tcW w:w="4061"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2893"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1亿元≤X</w:t>
            </w:r>
          </w:p>
        </w:tc>
        <w:tc>
          <w:tcPr>
            <w:tcW w:w="1566" w:type="dxa"/>
            <w:noWrap w:val="0"/>
            <w:vAlign w:val="center"/>
          </w:tcPr>
          <w:p>
            <w:pPr>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default" w:ascii="仿宋_GB2312" w:hAnsi="仿宋_GB2312" w:eastAsia="仿宋_GB2312" w:cs="仿宋_GB2312"/>
                <w:bCs/>
                <w:color w:val="000000"/>
                <w:kern w:val="2"/>
                <w:highlight w:val="none"/>
                <w:lang w:val="en-US" w:eastAsia="zh-CN" w:bidi="ar-SA"/>
              </w:rPr>
              <w:t>5</w:t>
            </w:r>
            <w:r>
              <w:rPr>
                <w:rFonts w:hint="eastAsia" w:ascii="仿宋_GB2312" w:hAnsi="仿宋_GB2312" w:eastAsia="仿宋_GB2312" w:cs="仿宋_GB2312"/>
                <w:bCs/>
                <w:color w:val="000000"/>
                <w:kern w:val="2"/>
                <w:highlight w:val="none"/>
                <w:lang w:val="en-US" w:eastAsia="zh-CN" w:bidi="ar-SA"/>
              </w:rPr>
              <w:t>0</w:t>
            </w:r>
          </w:p>
        </w:tc>
        <w:tc>
          <w:tcPr>
            <w:tcW w:w="4061" w:type="dxa"/>
            <w:vMerge w:val="restart"/>
            <w:noWrap w:val="0"/>
            <w:vAlign w:val="center"/>
          </w:tcPr>
          <w:p>
            <w:pPr>
              <w:spacing w:after="0" w:line="240" w:lineRule="auto"/>
              <w:jc w:val="left"/>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2023年度单个项目申报并获得市科技行政主管部门科技重大专项资助（资助金额超过</w:t>
            </w:r>
            <w:r>
              <w:rPr>
                <w:rFonts w:hint="eastAsia" w:ascii="仿宋_GB2312" w:hAnsi="仿宋_GB2312" w:eastAsia="仿宋_GB2312" w:cs="仿宋_GB2312"/>
                <w:bCs/>
                <w:color w:val="000000"/>
                <w:kern w:val="2"/>
                <w:highlight w:val="none"/>
                <w:lang w:val="en-US" w:eastAsia="zh-CN" w:bidi="ar-SA"/>
              </w:rPr>
              <w:t>400万元）</w:t>
            </w:r>
            <w:r>
              <w:rPr>
                <w:rFonts w:hint="eastAsia" w:ascii="仿宋_GB2312" w:hAnsi="仿宋_GB2312" w:eastAsia="仿宋_GB2312" w:cs="仿宋_GB2312"/>
                <w:bCs/>
                <w:color w:val="000000"/>
                <w:kern w:val="2"/>
                <w:highlight w:val="none"/>
                <w:lang w:eastAsia="zh-CN" w:bidi="ar-SA"/>
              </w:rPr>
              <w:t>的牵头单位，不受研发费用限制，按照最高档位给予</w:t>
            </w:r>
            <w:r>
              <w:rPr>
                <w:rFonts w:hint="default" w:ascii="仿宋_GB2312" w:hAnsi="仿宋_GB2312" w:eastAsia="仿宋_GB2312" w:cs="仿宋_GB2312"/>
                <w:bCs/>
                <w:color w:val="000000"/>
                <w:kern w:val="2"/>
                <w:highlight w:val="none"/>
                <w:lang w:val="en-US" w:eastAsia="zh-CN" w:bidi="ar-SA"/>
              </w:rPr>
              <w:t>5</w:t>
            </w:r>
            <w:r>
              <w:rPr>
                <w:rFonts w:hint="eastAsia" w:ascii="仿宋_GB2312" w:hAnsi="仿宋_GB2312" w:eastAsia="仿宋_GB2312" w:cs="仿宋_GB2312"/>
                <w:bCs/>
                <w:color w:val="000000"/>
                <w:kern w:val="2"/>
                <w:highlight w:val="none"/>
                <w:lang w:val="en-US" w:eastAsia="zh-CN" w:bidi="ar-SA"/>
              </w:rPr>
              <w:t>0万元资助</w:t>
            </w:r>
            <w:r>
              <w:rPr>
                <w:rFonts w:hint="eastAsia" w:ascii="仿宋_GB2312" w:hAnsi="仿宋_GB2312" w:eastAsia="仿宋_GB2312" w:cs="仿宋_GB2312"/>
                <w:bCs/>
                <w:color w:val="000000"/>
                <w:kern w:val="2"/>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2893"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5000万元≤X&lt;1亿元</w:t>
            </w:r>
          </w:p>
        </w:tc>
        <w:tc>
          <w:tcPr>
            <w:tcW w:w="1566"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40</w:t>
            </w:r>
          </w:p>
        </w:tc>
        <w:tc>
          <w:tcPr>
            <w:tcW w:w="4061"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2893"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1000万元≤X&lt;5000万元</w:t>
            </w:r>
          </w:p>
        </w:tc>
        <w:tc>
          <w:tcPr>
            <w:tcW w:w="1566" w:type="dxa"/>
            <w:noWrap w:val="0"/>
            <w:vAlign w:val="center"/>
          </w:tcPr>
          <w:p>
            <w:pPr>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20</w:t>
            </w:r>
          </w:p>
        </w:tc>
        <w:tc>
          <w:tcPr>
            <w:tcW w:w="4061"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bl>
    <w:p>
      <w:pPr>
        <w:spacing w:after="0" w:line="560" w:lineRule="exact"/>
        <w:ind w:firstLine="640" w:firstLineChars="200"/>
        <w:outlineLvl w:val="1"/>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（三）注意事项</w:t>
      </w:r>
    </w:p>
    <w:p>
      <w:pPr>
        <w:spacing w:after="0" w:line="560" w:lineRule="exact"/>
        <w:ind w:firstLine="640" w:firstLineChars="200"/>
        <w:jc w:val="both"/>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1.本操作规程中，提及的研发费用及其增速，均依据剔除委托外部研究开发费用后的数据进行测算。</w:t>
      </w:r>
    </w:p>
    <w:p>
      <w:pPr>
        <w:spacing w:after="0" w:line="560" w:lineRule="exact"/>
        <w:ind w:firstLine="640" w:firstLineChars="200"/>
        <w:jc w:val="both"/>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2.对于因2022年度研发费用数据为“0”或无数据且不</w:t>
      </w:r>
      <w:r>
        <w:rPr>
          <w:rFonts w:ascii="仿宋_GB2312" w:eastAsia="仿宋_GB2312"/>
          <w:sz w:val="32"/>
          <w:szCs w:val="32"/>
          <w:highlight w:val="none"/>
          <w:lang w:eastAsia="zh-CN"/>
        </w:rPr>
        <w:t>属于</w:t>
      </w:r>
      <w:r>
        <w:rPr>
          <w:rFonts w:hint="eastAsia" w:ascii="仿宋_GB2312" w:eastAsia="仿宋_GB2312"/>
          <w:sz w:val="32"/>
          <w:szCs w:val="32"/>
          <w:highlight w:val="none"/>
          <w:lang w:eastAsia="zh-CN"/>
        </w:rPr>
        <w:t>2023年度新入库</w:t>
      </w:r>
      <w:r>
        <w:rPr>
          <w:rFonts w:ascii="仿宋_GB2312" w:eastAsia="仿宋_GB2312"/>
          <w:sz w:val="32"/>
          <w:szCs w:val="32"/>
          <w:highlight w:val="none"/>
          <w:lang w:eastAsia="zh-CN"/>
        </w:rPr>
        <w:t>企业</w:t>
      </w:r>
      <w:r>
        <w:rPr>
          <w:rFonts w:hint="eastAsia" w:ascii="仿宋_GB2312" w:eastAsia="仿宋_GB2312"/>
          <w:sz w:val="32"/>
          <w:szCs w:val="32"/>
          <w:highlight w:val="none"/>
          <w:lang w:eastAsia="zh-CN"/>
        </w:rPr>
        <w:t>，导致无法计算研发费用增速的情况，将依据2023年度研发费用进行分档评估，并按较高档的增速标准予以相应资助。</w:t>
      </w:r>
    </w:p>
    <w:p>
      <w:pPr>
        <w:spacing w:after="0" w:line="560" w:lineRule="exact"/>
        <w:ind w:firstLine="640" w:firstLineChars="200"/>
        <w:contextualSpacing/>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三、设定依据</w:t>
      </w:r>
    </w:p>
    <w:p>
      <w:pPr>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1.《南山区促进产业高质量发展专项资金管理办法》</w:t>
      </w:r>
    </w:p>
    <w:p>
      <w:pPr>
        <w:spacing w:after="0" w:line="560" w:lineRule="exact"/>
        <w:ind w:firstLine="640" w:firstLineChars="200"/>
        <w:outlineLvl w:val="1"/>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2.《南山区促进科技创新专项扶持措施》</w:t>
      </w:r>
    </w:p>
    <w:p>
      <w:pPr>
        <w:spacing w:after="0" w:line="560" w:lineRule="exact"/>
        <w:ind w:firstLine="640" w:firstLineChars="200"/>
        <w:contextualSpacing/>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四、申报对象和条件</w:t>
      </w:r>
    </w:p>
    <w:p>
      <w:pPr>
        <w:spacing w:after="0" w:line="560" w:lineRule="exact"/>
        <w:ind w:firstLine="640" w:firstLineChars="200"/>
        <w:contextualSpacing/>
        <w:outlineLvl w:val="0"/>
        <w:rPr>
          <w:rFonts w:ascii="仿宋_GB2312" w:eastAsia="仿宋_GB2312"/>
          <w:sz w:val="32"/>
          <w:szCs w:val="32"/>
          <w:highlight w:val="none"/>
          <w:lang w:eastAsia="zh-CN"/>
        </w:rPr>
      </w:pPr>
      <w:r>
        <w:rPr>
          <w:rFonts w:hint="eastAsia" w:ascii="仿宋_GB2312" w:eastAsia="仿宋_GB2312"/>
          <w:sz w:val="32"/>
          <w:szCs w:val="32"/>
          <w:highlight w:val="none"/>
          <w:lang w:eastAsia="zh-CN"/>
        </w:rPr>
        <w:t>1</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申报主体为</w:t>
      </w:r>
      <w:r>
        <w:rPr>
          <w:rFonts w:ascii="仿宋_GB2312" w:eastAsia="仿宋_GB2312"/>
          <w:sz w:val="32"/>
          <w:szCs w:val="32"/>
          <w:highlight w:val="none"/>
          <w:lang w:eastAsia="zh-CN"/>
        </w:rPr>
        <w:t>在南山区依法经营</w:t>
      </w:r>
      <w:r>
        <w:rPr>
          <w:rFonts w:hint="eastAsia" w:ascii="仿宋_GB2312" w:eastAsia="仿宋_GB2312"/>
          <w:sz w:val="32"/>
          <w:szCs w:val="32"/>
          <w:highlight w:val="none"/>
          <w:lang w:eastAsia="zh-CN"/>
        </w:rPr>
        <w:t>，且为南山区统计在库的企业；</w:t>
      </w:r>
    </w:p>
    <w:p>
      <w:pPr>
        <w:spacing w:after="0" w:line="560" w:lineRule="exact"/>
        <w:ind w:firstLine="640" w:firstLineChars="208"/>
        <w:contextualSpacing/>
        <w:outlineLvl w:val="0"/>
        <w:rPr>
          <w:rFonts w:hint="eastAsia" w:ascii="仿宋_GB2312" w:eastAsia="仿宋_GB2312"/>
          <w:spacing w:val="-6"/>
          <w:sz w:val="32"/>
          <w:szCs w:val="32"/>
          <w:lang w:eastAsia="zh-CN"/>
        </w:rPr>
      </w:pPr>
      <w:r>
        <w:rPr>
          <w:rFonts w:hint="eastAsia" w:ascii="仿宋_GB2312" w:eastAsia="仿宋_GB2312"/>
          <w:spacing w:val="-6"/>
          <w:sz w:val="32"/>
          <w:szCs w:val="32"/>
          <w:highlight w:val="none"/>
          <w:lang w:eastAsia="zh-CN"/>
        </w:rPr>
        <w:t>2</w:t>
      </w:r>
      <w:r>
        <w:rPr>
          <w:rFonts w:ascii="仿宋_GB2312" w:eastAsia="仿宋_GB2312"/>
          <w:spacing w:val="-6"/>
          <w:sz w:val="32"/>
          <w:szCs w:val="32"/>
          <w:highlight w:val="none"/>
          <w:lang w:eastAsia="zh-CN"/>
        </w:rPr>
        <w:t>.</w:t>
      </w:r>
      <w:r>
        <w:rPr>
          <w:rFonts w:hint="eastAsia" w:ascii="仿宋_GB2312" w:eastAsia="仿宋_GB2312"/>
          <w:sz w:val="32"/>
          <w:szCs w:val="32"/>
          <w:highlight w:val="none"/>
          <w:lang w:eastAsia="zh-CN"/>
        </w:rPr>
        <w:t>“企业研发高成长支持”申报主体为2022年度及2023年度已纳入南山区研发统计核算范畴，且目前统计核算在库的企业；“企业研发新入库支</w:t>
      </w:r>
      <w:r>
        <w:rPr>
          <w:rFonts w:hint="eastAsia" w:ascii="仿宋_GB2312" w:eastAsia="仿宋_GB2312"/>
          <w:spacing w:val="-6"/>
          <w:sz w:val="32"/>
          <w:szCs w:val="32"/>
          <w:highlight w:val="none"/>
          <w:lang w:eastAsia="zh-CN"/>
        </w:rPr>
        <w:t>持”</w:t>
      </w:r>
      <w:r>
        <w:rPr>
          <w:rFonts w:hint="eastAsia" w:ascii="仿宋_GB2312" w:eastAsia="仿宋_GB2312"/>
          <w:sz w:val="32"/>
          <w:szCs w:val="32"/>
          <w:highlight w:val="none"/>
          <w:lang w:eastAsia="zh-CN"/>
        </w:rPr>
        <w:t>申报主体为</w:t>
      </w:r>
      <w:r>
        <w:rPr>
          <w:rFonts w:hint="eastAsia" w:ascii="仿宋_GB2312" w:eastAsia="仿宋_GB2312"/>
          <w:spacing w:val="-6"/>
          <w:sz w:val="32"/>
          <w:szCs w:val="32"/>
          <w:highlight w:val="none"/>
          <w:lang w:eastAsia="zh-CN"/>
        </w:rPr>
        <w:t>2023年度</w:t>
      </w:r>
      <w:r>
        <w:rPr>
          <w:rFonts w:hint="eastAsia" w:ascii="仿宋_GB2312" w:eastAsia="仿宋_GB2312"/>
          <w:spacing w:val="-6"/>
          <w:sz w:val="32"/>
          <w:szCs w:val="32"/>
          <w:lang w:eastAsia="zh-CN"/>
        </w:rPr>
        <w:t>新入库企业</w:t>
      </w:r>
      <w:r>
        <w:rPr>
          <w:rFonts w:hint="eastAsia" w:ascii="仿宋_GB2312" w:eastAsia="仿宋_GB2312"/>
          <w:sz w:val="32"/>
          <w:szCs w:val="32"/>
          <w:lang w:eastAsia="zh-CN"/>
        </w:rPr>
        <w:t>。</w:t>
      </w:r>
    </w:p>
    <w:p>
      <w:pPr>
        <w:pStyle w:val="2"/>
        <w:spacing w:after="0" w:line="560" w:lineRule="exact"/>
        <w:ind w:firstLine="640" w:firstLineChars="200"/>
        <w:contextualSpacing/>
        <w:jc w:val="left"/>
      </w:pPr>
      <w:r>
        <w:rPr>
          <w:rFonts w:hint="eastAsia" w:ascii="黑体" w:hAnsi="黑体" w:eastAsia="黑体" w:cs="黑体"/>
          <w:bCs/>
          <w:szCs w:val="32"/>
        </w:rPr>
        <w:t>五、资助方式</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黑体"/>
          <w:bCs/>
          <w:kern w:val="2"/>
          <w:sz w:val="32"/>
          <w:szCs w:val="32"/>
          <w:lang w:eastAsia="zh-CN" w:bidi="ar-SA"/>
        </w:rPr>
      </w:pPr>
      <w:r>
        <w:rPr>
          <w:rFonts w:hint="eastAsia" w:ascii="仿宋_GB2312" w:eastAsia="仿宋_GB2312"/>
          <w:sz w:val="32"/>
          <w:szCs w:val="32"/>
          <w:lang w:eastAsia="zh-CN"/>
        </w:rPr>
        <w:t>本资助计划属核准类，实行单位申报、材料审核、社会公示、政府决策的原则，采取无偿资助方式，受资助项目无需验收。</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widowControl w:val="0"/>
        <w:wordWrap w:val="0"/>
        <w:spacing w:after="0" w:line="560" w:lineRule="exact"/>
        <w:ind w:firstLine="640" w:firstLineChars="200"/>
        <w:contextualSpacing/>
        <w:rPr>
          <w:rFonts w:ascii="仿宋_GB2312" w:hAnsi="Calibri" w:eastAsia="仿宋_GB2312"/>
          <w:kern w:val="2"/>
          <w:sz w:val="32"/>
          <w:szCs w:val="32"/>
          <w:lang w:eastAsia="zh-CN" w:bidi="ar-SA"/>
        </w:rPr>
      </w:pPr>
      <w:r>
        <w:rPr>
          <w:rFonts w:hint="eastAsia" w:ascii="仿宋_GB2312" w:hAnsi="Calibri" w:eastAsia="仿宋_GB2312"/>
          <w:kern w:val="2"/>
          <w:sz w:val="32"/>
          <w:szCs w:val="32"/>
          <w:lang w:eastAsia="zh-CN" w:bidi="ar-SA"/>
        </w:rPr>
        <w:t>（一）</w:t>
      </w:r>
      <w:r>
        <w:rPr>
          <w:rFonts w:hint="eastAsia" w:ascii="仿宋_GB2312" w:hAnsi="ˎ̥" w:eastAsia="仿宋_GB2312" w:cs="宋体"/>
          <w:sz w:val="32"/>
          <w:szCs w:val="32"/>
          <w:lang w:eastAsia="zh-CN" w:bidi="ar-SA"/>
        </w:rPr>
        <w:t>登录“i南山企业服务综合平台”（https://www.inanshan.org.cn/）</w:t>
      </w:r>
      <w:r>
        <w:rPr>
          <w:rFonts w:hint="eastAsia" w:ascii="仿宋_GB2312" w:hAnsi="Calibri" w:eastAsia="仿宋_GB2312"/>
          <w:kern w:val="2"/>
          <w:sz w:val="32"/>
          <w:szCs w:val="32"/>
          <w:lang w:eastAsia="zh-CN" w:bidi="ar-SA"/>
        </w:rPr>
        <w:t>，网上提交项目申报材料；</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w:t>
      </w:r>
      <w:r>
        <w:rPr>
          <w:rFonts w:ascii="仿宋_GB2312" w:eastAsia="仿宋_GB2312"/>
          <w:sz w:val="32"/>
          <w:szCs w:val="32"/>
          <w:lang w:eastAsia="zh-CN"/>
        </w:rPr>
        <w:t>对申报材料进行形式性审核</w:t>
      </w:r>
      <w:r>
        <w:rPr>
          <w:rFonts w:hint="eastAsia" w:ascii="仿宋_GB2312" w:eastAsia="仿宋_GB2312"/>
          <w:sz w:val="32"/>
          <w:szCs w:val="32"/>
          <w:lang w:eastAsia="zh-CN"/>
        </w:rPr>
        <w:t>，区科技创新局复审项目申报材料；</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（四）区统计局对申报主体数据申报情况、研发投入数据、企业研发新入库等情况进行核查，区企业发展服务中心组织对申报主体的在地经营情况和不良信用记录等情况进行核查；</w:t>
      </w:r>
    </w:p>
    <w:p>
      <w:pPr>
        <w:spacing w:after="0" w:line="560" w:lineRule="exact"/>
        <w:ind w:firstLine="640" w:firstLineChars="200"/>
        <w:contextualSpacing/>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 w:eastAsia="仿宋_GB2312"/>
          <w:sz w:val="32"/>
          <w:szCs w:val="32"/>
          <w:lang w:eastAsia="zh-CN"/>
        </w:rPr>
        <w:t>区企业</w:t>
      </w:r>
      <w:bookmarkStart w:id="2" w:name="_Hlk97706460"/>
      <w:r>
        <w:rPr>
          <w:rFonts w:hint="eastAsia" w:ascii="仿宋_GB2312" w:hAnsi="仿宋" w:eastAsia="仿宋_GB2312"/>
          <w:sz w:val="32"/>
          <w:szCs w:val="32"/>
          <w:lang w:eastAsia="zh-CN"/>
        </w:rPr>
        <w:t>发展</w:t>
      </w:r>
      <w:bookmarkEnd w:id="2"/>
      <w:r>
        <w:rPr>
          <w:rFonts w:hint="eastAsia" w:ascii="仿宋_GB2312" w:hAnsi="仿宋" w:eastAsia="仿宋_GB2312"/>
          <w:sz w:val="32"/>
          <w:szCs w:val="32"/>
          <w:lang w:eastAsia="zh-CN"/>
        </w:rPr>
        <w:t>服务中心将拟资助项目向社会公示5个工作日</w:t>
      </w:r>
      <w:r>
        <w:rPr>
          <w:rFonts w:ascii="仿宋_GB2312" w:hAnsi="仿宋" w:eastAsia="仿宋_GB2312"/>
          <w:sz w:val="32"/>
          <w:szCs w:val="32"/>
          <w:lang w:eastAsia="zh-CN"/>
        </w:rPr>
        <w:t>，对公示期满，无有效投诉的项目资助计划，再提交</w:t>
      </w:r>
      <w:r>
        <w:rPr>
          <w:rFonts w:hint="eastAsia" w:ascii="仿宋_GB2312" w:hAnsi="仿宋" w:eastAsia="仿宋_GB2312"/>
          <w:sz w:val="32"/>
          <w:szCs w:val="32"/>
          <w:lang w:eastAsia="zh-CN"/>
        </w:rPr>
        <w:t>领导</w:t>
      </w:r>
      <w:r>
        <w:rPr>
          <w:rFonts w:ascii="仿宋_GB2312" w:hAnsi="仿宋" w:eastAsia="仿宋_GB2312"/>
          <w:sz w:val="32"/>
          <w:szCs w:val="32"/>
          <w:lang w:eastAsia="zh-CN"/>
        </w:rPr>
        <w:t>小组会议进行审议；</w:t>
      </w:r>
    </w:p>
    <w:p>
      <w:pPr>
        <w:spacing w:after="0" w:line="560" w:lineRule="exact"/>
        <w:ind w:firstLine="640" w:firstLineChars="200"/>
        <w:outlineLvl w:val="0"/>
        <w:rPr>
          <w:rFonts w:hint="eastAsia" w:ascii="仿宋_GB2312" w:hAnsi="仿宋_GB2312" w:eastAsia="仿宋_GB2312" w:cs="仿宋_GB2312"/>
          <w:bCs/>
          <w:kern w:val="2"/>
          <w:sz w:val="32"/>
          <w:szCs w:val="32"/>
          <w:lang w:eastAsia="zh-CN" w:bidi="ar-SA"/>
        </w:rPr>
      </w:pPr>
      <w:r>
        <w:rPr>
          <w:rFonts w:hint="eastAsia" w:ascii="仿宋_GB2312" w:hAnsi="仿宋_GB2312" w:eastAsia="仿宋_GB2312" w:cs="仿宋_GB2312"/>
          <w:bCs/>
          <w:kern w:val="2"/>
          <w:sz w:val="32"/>
          <w:szCs w:val="32"/>
          <w:lang w:eastAsia="zh-CN" w:bidi="ar-SA"/>
        </w:rPr>
        <w:t>（六）经审议后，由区科技创新局直接行文下达资金计划；</w:t>
      </w:r>
    </w:p>
    <w:p>
      <w:pPr>
        <w:spacing w:after="0" w:line="560" w:lineRule="exact"/>
        <w:ind w:firstLine="640" w:firstLineChars="200"/>
        <w:outlineLvl w:val="0"/>
        <w:rPr>
          <w:rFonts w:hint="eastAsia" w:ascii="黑体" w:hAnsi="黑体" w:eastAsia="黑体" w:cs="黑体"/>
          <w:bCs/>
          <w:kern w:val="2"/>
          <w:sz w:val="32"/>
          <w:szCs w:val="32"/>
          <w:lang w:eastAsia="zh-CN" w:bidi="ar-SA"/>
        </w:rPr>
      </w:pPr>
      <w:r>
        <w:rPr>
          <w:rFonts w:hint="eastAsia" w:ascii="仿宋_GB2312" w:hAnsi="仿宋_GB2312" w:eastAsia="仿宋_GB2312" w:cs="仿宋_GB2312"/>
          <w:bCs/>
          <w:kern w:val="2"/>
          <w:sz w:val="32"/>
          <w:szCs w:val="32"/>
          <w:lang w:eastAsia="zh-CN" w:bidi="ar-SA"/>
        </w:rPr>
        <w:t>（七）区财政部门及时安排资金，区科技创新局办理资金拨付手续</w:t>
      </w:r>
      <w:r>
        <w:rPr>
          <w:rFonts w:hint="eastAsia" w:ascii="黑体" w:hAnsi="黑体" w:eastAsia="黑体" w:cs="黑体"/>
          <w:bCs/>
          <w:kern w:val="2"/>
          <w:sz w:val="32"/>
          <w:szCs w:val="32"/>
          <w:lang w:eastAsia="zh-CN" w:bidi="ar-SA"/>
        </w:rPr>
        <w:t>。</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七、所需材料</w:t>
      </w:r>
    </w:p>
    <w:p>
      <w:pPr>
        <w:wordWrap w:val="0"/>
        <w:spacing w:after="0" w:line="560" w:lineRule="exact"/>
        <w:ind w:firstLine="640" w:firstLineChars="200"/>
        <w:rPr>
          <w:rFonts w:hint="eastAsia"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（一）登录“i南山企业服务综合平台”（https://www.inanshan.org.cn/），在线填写《南山区促进产业高质量发展专项资金——区科技创新局分项资金科技型企业研发投入支持计划项目申请书》；</w:t>
      </w:r>
    </w:p>
    <w:p>
      <w:pPr>
        <w:pStyle w:val="2"/>
        <w:spacing w:after="0" w:line="560" w:lineRule="exact"/>
        <w:ind w:firstLine="640" w:firstLineChars="200"/>
        <w:contextualSpacing/>
        <w:jc w:val="left"/>
      </w:pPr>
      <w:r>
        <w:rPr>
          <w:rFonts w:hint="eastAsia"/>
        </w:rPr>
        <w:t>（二）</w:t>
      </w:r>
      <w:r>
        <w:rPr>
          <w:rFonts w:hint="eastAsia" w:ascii="仿宋_GB2312" w:hAnsi="ˎ̥" w:cs="宋体"/>
          <w:szCs w:val="32"/>
        </w:rPr>
        <w:t>《南山区促进产业高质量发展专项资金——区技创新局分项资金科技型企业研发投入支持计划项目申请书》填表声明与保证（法定代表人签字、加盖单位公章</w:t>
      </w:r>
      <w:r>
        <w:rPr>
          <w:rFonts w:hint="eastAsia" w:ascii="仿宋_GB2312"/>
          <w:szCs w:val="32"/>
        </w:rPr>
        <w:t>并填写日期后</w:t>
      </w:r>
      <w:r>
        <w:rPr>
          <w:rFonts w:hint="eastAsia" w:ascii="仿宋_GB2312" w:hAnsi="ˎ̥" w:cs="宋体"/>
          <w:szCs w:val="32"/>
        </w:rPr>
        <w:t>，</w:t>
      </w:r>
      <w:r>
        <w:rPr>
          <w:rFonts w:hint="eastAsia" w:ascii="仿宋_GB2312"/>
          <w:szCs w:val="32"/>
        </w:rPr>
        <w:t>原件彩色扫描成PDF文件上传）；</w:t>
      </w:r>
    </w:p>
    <w:p>
      <w:pPr>
        <w:spacing w:after="0" w:line="560" w:lineRule="exact"/>
        <w:ind w:firstLine="616" w:firstLineChars="200"/>
        <w:contextualSpacing/>
        <w:rPr>
          <w:rFonts w:ascii="仿宋_GB2312" w:eastAsia="仿宋_GB2312"/>
          <w:spacing w:val="-6"/>
          <w:sz w:val="32"/>
          <w:szCs w:val="32"/>
          <w:lang w:eastAsia="zh-CN"/>
        </w:rPr>
      </w:pPr>
      <w:bookmarkStart w:id="3" w:name="_Hlk74842062"/>
      <w:r>
        <w:rPr>
          <w:rFonts w:hint="eastAsia" w:ascii="仿宋_GB2312" w:hAnsi="宋体" w:eastAsia="仿宋_GB2312" w:cs="宋体"/>
          <w:spacing w:val="-6"/>
          <w:sz w:val="32"/>
          <w:szCs w:val="32"/>
          <w:lang w:eastAsia="zh-CN"/>
        </w:rPr>
        <w:t>（三）</w:t>
      </w:r>
      <w:bookmarkStart w:id="4" w:name="_Hlk97671613"/>
      <w:r>
        <w:rPr>
          <w:rFonts w:hint="eastAsia" w:ascii="仿宋_GB2312" w:hAnsi="仿宋" w:eastAsia="仿宋_GB2312"/>
          <w:spacing w:val="-6"/>
          <w:sz w:val="32"/>
          <w:szCs w:val="32"/>
          <w:lang w:eastAsia="zh-CN"/>
        </w:rPr>
        <w:t>统一社会信用代码证书</w:t>
      </w:r>
      <w:bookmarkEnd w:id="4"/>
      <w:r>
        <w:rPr>
          <w:rFonts w:hint="eastAsia" w:ascii="仿宋_GB2312" w:eastAsia="仿宋_GB2312"/>
          <w:spacing w:val="-6"/>
          <w:sz w:val="32"/>
          <w:szCs w:val="32"/>
          <w:lang w:eastAsia="zh-CN"/>
        </w:rPr>
        <w:t>（彩色扫描成PDF文件上传）；</w:t>
      </w:r>
    </w:p>
    <w:p>
      <w:pPr>
        <w:spacing w:after="0" w:line="560" w:lineRule="exact"/>
        <w:ind w:firstLine="640" w:firstLineChars="200"/>
        <w:contextualSpacing/>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lang w:eastAsia="zh-CN"/>
        </w:rPr>
        <w:t>；</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（五）由税务部门开具的单位</w:t>
      </w:r>
      <w:r>
        <w:rPr>
          <w:rFonts w:hint="eastAsia" w:ascii="仿宋_GB2312" w:eastAsia="仿宋_GB2312"/>
          <w:sz w:val="32"/>
          <w:szCs w:val="32"/>
          <w:lang w:val="en-US" w:eastAsia="zh-CN"/>
        </w:rPr>
        <w:t>2023</w:t>
      </w:r>
      <w:r>
        <w:rPr>
          <w:rFonts w:hint="eastAsia" w:ascii="仿宋_GB2312" w:eastAsia="仿宋_GB2312"/>
          <w:sz w:val="32"/>
          <w:szCs w:val="32"/>
          <w:lang w:eastAsia="zh-CN"/>
        </w:rPr>
        <w:t>年度纳税证明（</w:t>
      </w:r>
      <w:bookmarkStart w:id="5" w:name="_Hlk98161019"/>
      <w:r>
        <w:rPr>
          <w:rFonts w:hint="eastAsia" w:ascii="仿宋_GB2312" w:eastAsia="仿宋_GB2312"/>
          <w:sz w:val="32"/>
          <w:szCs w:val="32"/>
          <w:lang w:eastAsia="zh-CN"/>
        </w:rPr>
        <w:t>上传税务系统下载带有税务机关红色印章的电子版</w:t>
      </w:r>
      <w:bookmarkEnd w:id="5"/>
      <w:r>
        <w:rPr>
          <w:rFonts w:hint="eastAsia" w:ascii="仿宋_GB2312" w:eastAsia="仿宋_GB2312"/>
          <w:sz w:val="32"/>
          <w:szCs w:val="32"/>
          <w:lang w:eastAsia="zh-CN"/>
        </w:rPr>
        <w:t>)；</w:t>
      </w:r>
    </w:p>
    <w:bookmarkEnd w:id="3"/>
    <w:p>
      <w:pPr>
        <w:pStyle w:val="2"/>
        <w:spacing w:after="0" w:line="560" w:lineRule="exact"/>
        <w:ind w:firstLine="640" w:firstLineChars="200"/>
        <w:contextualSpacing/>
        <w:jc w:val="left"/>
        <w:rPr>
          <w:rFonts w:hint="eastAsia" w:ascii="仿宋_GB2312"/>
          <w:szCs w:val="32"/>
        </w:rPr>
      </w:pPr>
      <w:r>
        <w:rPr>
          <w:rFonts w:hint="eastAsia" w:ascii="仿宋_GB2312"/>
          <w:szCs w:val="32"/>
        </w:rPr>
        <w:t>（六）</w:t>
      </w:r>
      <w:r>
        <w:rPr>
          <w:rFonts w:hint="eastAsia" w:ascii="仿宋_GB2312"/>
          <w:szCs w:val="32"/>
          <w:lang w:val="en-US" w:eastAsia="zh-CN"/>
        </w:rPr>
        <w:t>2022</w:t>
      </w:r>
      <w:r>
        <w:rPr>
          <w:rFonts w:hint="eastAsia" w:ascii="仿宋_GB2312"/>
          <w:szCs w:val="32"/>
        </w:rPr>
        <w:t>年</w:t>
      </w:r>
      <w:r>
        <w:rPr>
          <w:rFonts w:hint="eastAsia" w:ascii="仿宋_GB2312"/>
          <w:szCs w:val="32"/>
          <w:lang w:eastAsia="zh-CN"/>
        </w:rPr>
        <w:t>、</w:t>
      </w:r>
      <w:r>
        <w:rPr>
          <w:rFonts w:hint="eastAsia" w:ascii="仿宋_GB2312"/>
          <w:szCs w:val="32"/>
          <w:lang w:val="en-US" w:eastAsia="zh-CN"/>
        </w:rPr>
        <w:t>2023年</w:t>
      </w:r>
      <w:r>
        <w:rPr>
          <w:rFonts w:hint="eastAsia" w:ascii="仿宋_GB2312"/>
          <w:szCs w:val="32"/>
        </w:rPr>
        <w:t>的《企业研究开发活动及相关情况》（607-2表和107-2表）（加盖单位公章后，原件彩色扫描成PDF文件上传）；</w:t>
      </w:r>
    </w:p>
    <w:p>
      <w:pPr>
        <w:pStyle w:val="2"/>
        <w:spacing w:after="0" w:line="560" w:lineRule="exact"/>
        <w:ind w:firstLine="640" w:firstLineChars="200"/>
        <w:contextualSpacing/>
        <w:jc w:val="left"/>
        <w:rPr>
          <w:rFonts w:hint="eastAsia" w:ascii="仿宋_GB2312" w:hAnsi="宋体" w:cs="宋体"/>
          <w:szCs w:val="32"/>
        </w:rPr>
      </w:pPr>
      <w:r>
        <w:rPr>
          <w:rFonts w:hint="eastAsia" w:ascii="仿宋_GB2312" w:hAnsi="宋体" w:cs="宋体"/>
          <w:szCs w:val="32"/>
        </w:rPr>
        <w:t>（七）2023年度企业申报并</w:t>
      </w:r>
      <w:r>
        <w:rPr>
          <w:rFonts w:hint="eastAsia" w:ascii="仿宋_GB2312" w:hAnsi="仿宋_GB2312" w:cs="仿宋_GB2312"/>
          <w:color w:val="000000"/>
          <w:szCs w:val="23"/>
        </w:rPr>
        <w:t>获得</w:t>
      </w:r>
      <w:r>
        <w:rPr>
          <w:rFonts w:hint="eastAsia" w:ascii="仿宋_GB2312"/>
          <w:color w:val="000000"/>
          <w:szCs w:val="32"/>
        </w:rPr>
        <w:t>市科技行政主管部门科技重大专项（重点项目）</w:t>
      </w:r>
      <w:r>
        <w:rPr>
          <w:rFonts w:hint="eastAsia" w:ascii="仿宋_GB2312"/>
          <w:szCs w:val="32"/>
        </w:rPr>
        <w:t>资助的批文、立项合同、可行性方案</w:t>
      </w:r>
      <w:r>
        <w:rPr>
          <w:rFonts w:hint="eastAsia" w:ascii="仿宋_GB2312"/>
          <w:szCs w:val="32"/>
          <w:lang w:eastAsia="zh-CN"/>
        </w:rPr>
        <w:t>、到账凭证</w:t>
      </w:r>
      <w:r>
        <w:rPr>
          <w:rFonts w:hint="eastAsia" w:ascii="仿宋_GB2312"/>
          <w:szCs w:val="32"/>
        </w:rPr>
        <w:t>等材料</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p>
    <w:p>
      <w:pPr>
        <w:pStyle w:val="2"/>
        <w:spacing w:after="0" w:line="560" w:lineRule="exact"/>
        <w:ind w:firstLine="640" w:firstLineChars="200"/>
        <w:contextualSpacing/>
        <w:jc w:val="left"/>
        <w:rPr>
          <w:rFonts w:hint="eastAsia" w:ascii="仿宋_GB2312"/>
          <w:szCs w:val="32"/>
        </w:rPr>
      </w:pPr>
      <w:r>
        <w:rPr>
          <w:rFonts w:hint="eastAsia" w:ascii="仿宋_GB2312"/>
          <w:szCs w:val="32"/>
        </w:rPr>
        <w:t>（八）单位名称已作变更的，须上传单位工商变更证明材料（原件彩色扫描</w:t>
      </w:r>
      <w:r>
        <w:rPr>
          <w:rFonts w:ascii="仿宋_GB2312"/>
          <w:szCs w:val="32"/>
        </w:rPr>
        <w:t>成PDF文件</w:t>
      </w:r>
      <w:r>
        <w:rPr>
          <w:rFonts w:hint="eastAsia" w:ascii="仿宋_GB2312"/>
          <w:szCs w:val="32"/>
        </w:rPr>
        <w:t>上传）；</w:t>
      </w:r>
    </w:p>
    <w:p>
      <w:pPr>
        <w:snapToGrid w:val="0"/>
        <w:spacing w:after="0"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（九）审核部门认为需要提供的其它材料[原件（或复印件加盖单位公章）彩色扫描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lang w:eastAsia="zh-CN"/>
        </w:rPr>
        <w:t>。</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bookmarkStart w:id="6" w:name="_Hlk98161237"/>
      <w:r>
        <w:rPr>
          <w:rFonts w:hint="eastAsia" w:ascii="黑体" w:hAnsi="黑体" w:eastAsia="黑体" w:cs="黑体"/>
          <w:bCs/>
          <w:kern w:val="2"/>
          <w:sz w:val="32"/>
          <w:szCs w:val="32"/>
          <w:lang w:eastAsia="zh-CN" w:bidi="ar-SA"/>
        </w:rPr>
        <w:t>八、</w:t>
      </w:r>
      <w:r>
        <w:rPr>
          <w:rFonts w:hint="eastAsia" w:ascii="黑体" w:hAnsi="黑体" w:eastAsia="黑体"/>
          <w:bCs/>
          <w:sz w:val="32"/>
          <w:szCs w:val="32"/>
          <w:lang w:eastAsia="zh-CN"/>
        </w:rPr>
        <w:t>申报时间和办理要求</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bookmarkEnd w:id="6"/>
    <w:p>
      <w:pPr>
        <w:spacing w:after="0" w:line="560" w:lineRule="exact"/>
        <w:ind w:firstLine="640" w:firstLineChars="200"/>
        <w:contextualSpacing/>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九、附则</w:t>
      </w:r>
    </w:p>
    <w:p>
      <w:pPr>
        <w:spacing w:after="0" w:line="560" w:lineRule="exact"/>
        <w:ind w:firstLine="640" w:firstLineChars="200"/>
        <w:contextualSpacing/>
        <w:rPr>
          <w:rFonts w:ascii="方正小标宋_GBK" w:hAnsi="宋体" w:eastAsia="方正小标宋_GBK" w:cs="宋体"/>
          <w:bCs/>
          <w:color w:val="000000"/>
          <w:sz w:val="44"/>
          <w:szCs w:val="44"/>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p>
    <w:p>
      <w:pPr>
        <w:rPr>
          <w:lang w:eastAsia="zh-CN"/>
        </w:rPr>
      </w:pPr>
    </w:p>
    <w:p>
      <w:bookmarkStart w:id="7" w:name="_GoBack"/>
      <w:bookmarkEnd w:id="7"/>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altName w:val="汉仪书宋二KW"/>
    <w:panose1 w:val="02000000000000000000"/>
    <w:charset w:val="00"/>
    <w:family w:val="auto"/>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仿宋">
    <w:altName w:val="方正仿宋_GBK"/>
    <w:panose1 w:val="00000000000000000000"/>
    <w:charset w:val="00"/>
    <w:family w:val="modern"/>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8"/>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C7472"/>
    <w:multiLevelType w:val="singleLevel"/>
    <w:tmpl w:val="E6DC7472"/>
    <w:lvl w:ilvl="0" w:tentative="0">
      <w:start w:val="1"/>
      <w:numFmt w:val="chineseCounting"/>
      <w:suff w:val="nothing"/>
      <w:lvlText w:val="（%1）"/>
      <w:lvlJc w:val="left"/>
      <w:rPr>
        <w:rFonts w:hint="eastAsia"/>
      </w:rPr>
    </w:lvl>
  </w:abstractNum>
  <w:abstractNum w:abstractNumId="1">
    <w:nsid w:val="FDCE0742"/>
    <w:multiLevelType w:val="singleLevel"/>
    <w:tmpl w:val="FDCE074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C99F5"/>
    <w:rsid w:val="BBFC9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2025-02-07T17:45:00Z</dcterms:created>
  <dc:creator>王玮黠</dc:creator>
  <cp:lastModifiedBy>王玮黠</cp:lastModifiedBy>
  <dcterms:modified xsi:type="dcterms:W3CDTF">2025-02-07T17:46:11Z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FA7ADD0411A6F2754CD6A56760B3F100_41</vt:lpwstr>
  </property>
</Properties>
</file>