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未来城市建设典型案例评价体系参考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未来城市建设典型案例征集分为好房子、好小区、好社区、好城区四大维度。所有申报对象都应处于实际应用阶段，申报对象的应用领域、地区、范围不限，但原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则上投入使用时间不超过3年。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案例申报设立申报条件与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标准。申报条件为典型案例申报底线要求，满足条件方可参与征集活动。评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标准可作为各级申报主体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申报材料参考。此外，各维度典型案例可根据申报主体特色新增评价内容作为加分项，并提供相应评价资料，确保各案例最大程度凸显建设亮点，回应未来城市建设案例技术征集和推广的目标。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二、申报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条件</w:t>
      </w:r>
      <w:r>
        <w:rPr>
          <w:rFonts w:hint="default" w:ascii="黑体" w:hAnsi="黑体" w:eastAsia="黑体" w:cs="黑体"/>
          <w:sz w:val="32"/>
          <w:szCs w:val="32"/>
        </w:rPr>
        <w:t>与评价标准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（一）“好房子”建设典型案例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1.申报范围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“好房子”</w:t>
      </w:r>
      <w:bookmarkStart w:id="0" w:name="_Hlk171111633"/>
      <w:r>
        <w:rPr>
          <w:rFonts w:hint="eastAsia" w:ascii="仿宋_GB2312" w:hAnsi="仿宋_GB2312" w:eastAsia="仿宋_GB2312" w:cs="仿宋_GB2312"/>
          <w:sz w:val="32"/>
          <w:szCs w:val="32"/>
        </w:rPr>
        <w:t>申报范围包括居住建筑和公共建筑。其中公共建筑包括教育建筑、商业建筑、医疗建筑、体育建筑、交通建筑、办公建筑、科研建筑等。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171111652"/>
      <w:r>
        <w:rPr>
          <w:rFonts w:hint="eastAsia" w:ascii="仿宋_GB2312" w:hAnsi="仿宋_GB2312" w:eastAsia="仿宋_GB2312" w:cs="仿宋_GB2312"/>
          <w:sz w:val="32"/>
          <w:szCs w:val="32"/>
        </w:rPr>
        <w:t>申报主体包括业主、设计单位、项目开发商、运营管理单位等。运营管理单位作为申报主体需提供业主授权证明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工程验收、消防验收时长满一年以上，绿色建筑等级达到一星以上。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健康舒适（15%）：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报案例应满足采光、通风良好，温度湿度宜居，适应岭南气候特征，层高适宜，性能完备，墙体隔音良好等要求。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绿色低碳（15%）：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申报案例应满足建筑材料生产、建造过程、全生命周期使用过程符合低碳、近零碳标准，应用绿色材料，节能措施得当，建筑节水、节电、节气、节能等要求。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安全耐久（10%）：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申报案例应满足场地安全；建筑本体安全，结构安全、抗震防灾；设施设备安全，水电安全、燃气安全、电梯安全；质量好、性能优、使用寿命长；全生命周期监测等要求。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智慧便捷（15%）：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申报案例应满足家居智能，室内环境自动监测，温度、亮度、湿度、空气净度自动调节等；智能控制，门窗、照明、空调、室厅、厨卫设备智能控制等；智慧管理、智能安防等要求。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人本宜居（15%）：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申报案例应满足全龄友好，生活便捷，出行便利等要求。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用户满意度（20%）：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申报案例应开展相关用户满意度调研，满意度得分良好，无不良投诉记录等。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未来新技术应用（10%）：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申报案例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全屋智能、低空经济、智慧养老、新型建材、能源技术、智慧建造等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技术应用情况。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（二）“好小区、好社区”建设典型案例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1.申报范围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Hlk171111706"/>
      <w:r>
        <w:rPr>
          <w:rFonts w:hint="eastAsia" w:ascii="仿宋_GB2312" w:hAnsi="仿宋_GB2312" w:eastAsia="仿宋_GB2312" w:cs="仿宋_GB2312"/>
          <w:sz w:val="32"/>
          <w:szCs w:val="32"/>
        </w:rPr>
        <w:t>“好小区”申报范围包括新建小区、老旧小区改造项目等实证项目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。“好社区”申报范围包括新建社区与既有社区更新，包括但不限于智慧品质社区、未来零碳社区、社区更新改造等项目。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“好小区、好社区”的</w:t>
      </w:r>
      <w:bookmarkStart w:id="3" w:name="_Hlk171111693"/>
      <w:r>
        <w:rPr>
          <w:rFonts w:hint="eastAsia" w:ascii="仿宋_GB2312" w:hAnsi="仿宋_GB2312" w:eastAsia="仿宋_GB2312" w:cs="仿宋_GB2312"/>
          <w:sz w:val="32"/>
          <w:szCs w:val="32"/>
        </w:rPr>
        <w:t>申报主体包括业主、物业管理单位、开发商、街道办事处（镇人民政府）、规划设计建设单位、社区居委会、基层党组织等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已建成投入使用，基本配套齐全，新建小区满足《城市居住区规划设计标准（GB50180-2018）》相关要求。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标准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设施建设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申报案例应满足党群服务中心、养老托幼设施、卫生服务设施、社区商业设施、体育健身设施、开放交往空间建设良好等要求。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环境营造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申报案例应满足慢行系统完备、风雨连廊连续、立体绿化建设、园林景观设计、公共空间与公共绿地环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</w:rPr>
        <w:t>舒适等要求。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安全韧性（10%）：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洪涝韧性，设有透水铺装、下沉式绿地、雨水花园、绿色屋顶等；避难场所建设；消防安全，微型消防站建设、消防通道畅通、火灾自动报警等；安防系统完备，设有警务室设施、监控设施配置、安全监测指挥中心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运营治理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（15%）：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申报案例应满足基层党组织建设、社区自治、共建共治共享、共同缔造治理高效等要求。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智慧服务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申报案例应满足智慧物业服务平台、BIM平台建设、灾害事故预警系统、智能安防系统服务高效等要求。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居民满意度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（20%）：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申报案例应开展相关居民满意度调研，满意度得分良好，无不良投诉记录等。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未来新技术应用（10%）：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申报案例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提供低空经济，无人配送等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技术应用情况。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（三）“好城区”建设典型案例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1.申报范围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Hlk171111767"/>
      <w:r>
        <w:rPr>
          <w:rFonts w:hint="eastAsia" w:ascii="仿宋_GB2312" w:hAnsi="仿宋_GB2312" w:eastAsia="仿宋_GB2312" w:cs="仿宋_GB2312"/>
          <w:sz w:val="32"/>
          <w:szCs w:val="32"/>
        </w:rPr>
        <w:t>“好城区”申报范围一般为空间尺度为5km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以上城区、新区、重点片区等。小于5km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的县城或镇区类项目可按照“好城区”申报。区域规模较大的，可将其部分区域作为申报范围。</w:t>
      </w:r>
    </w:p>
    <w:bookmarkEnd w:id="4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2.申报主体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“好城区”建设典型案例申报主体为所申报城区、新区、重点片区、县城、镇区等的市级、区（县）级、镇街行政管理机构、管理委员会等。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申报案例应为</w:t>
      </w:r>
      <w:r>
        <w:rPr>
          <w:rFonts w:hint="eastAsia" w:ascii="仿宋_GB2312" w:hAnsi="仿宋_GB2312" w:eastAsia="仿宋_GB2312" w:cs="仿宋_GB2312"/>
          <w:sz w:val="32"/>
          <w:szCs w:val="32"/>
        </w:rPr>
        <w:t>相对成熟的城市建成区，具备一定规模，可承担多种类型城市综合服务功能。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标准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活力宜居（15%）：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申报案例应满足全龄友好，职住平衡，交通便捷，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较高比例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蓝绿空间，空气质量、声环境、水环境良好，文体设施完备，经济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活力等要求。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绿色低碳（15%）：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申报案例应满足绿色建筑、装配式建筑，单位碳排放下降，清洁能源使用，建筑垃圾及生活垃圾资源化利用等要求，环境污染治理措施得当，并建立城市能耗自动监测与预警系统等。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安全韧性（10%）：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申报案例应满足防洪防涝安全，消防安全，防震安全，应急避难管理，道路安全，平急两用设施建设，AED覆盖等要求。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智慧高效（15%）：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申报案例应满足智慧交通，一网统管，智能管理，CIM、BIM平台建设，5G通讯覆盖等要求。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人文岭南（15%）：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申报案例应满足历史文化保护，岭南特色挖掘，国际友好合作，旅游资源开发，风貌特色发扬，弱势群体关怀，住房保障等要求。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市民满意度（20%）：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申报案例应开展相关市民满意度调研，满意度情况良好，居民幸福感强等。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未来新理念、新技术、新场景应用（10%）：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供无人驾驶、低空经济、人工智能、车路协同等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技术应用情况。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  <w:sectPr>
          <w:footerReference r:id="rId5" w:type="default"/>
          <w:pgSz w:w="11906" w:h="16839"/>
          <w:pgMar w:top="1644" w:right="1474" w:bottom="1417" w:left="1587" w:header="1" w:footer="133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outlineLvl w:val="1"/>
        <w:rPr>
          <w:rFonts w:hint="eastAsia" w:ascii="小标宋" w:hAnsi="小标宋" w:eastAsia="小标宋" w:cs="小标宋"/>
          <w:sz w:val="36"/>
          <w:szCs w:val="44"/>
        </w:rPr>
      </w:pPr>
      <w:r>
        <w:rPr>
          <w:rFonts w:hint="eastAsia" w:ascii="小标宋" w:hAnsi="小标宋" w:eastAsia="小标宋" w:cs="小标宋"/>
          <w:sz w:val="36"/>
          <w:szCs w:val="44"/>
        </w:rPr>
        <w:t>未来城市新技术应用指标评价体系参考</w:t>
      </w:r>
    </w:p>
    <w:tbl>
      <w:tblPr>
        <w:tblStyle w:val="1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57"/>
        <w:gridCol w:w="371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2"/>
            <w:shd w:val="clear" w:color="auto" w:fill="BCCABD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  <w:lang w:eastAsia="zh-CN"/>
              </w:rPr>
              <w:t>评价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</w:rPr>
              <w:t>准则</w:t>
            </w:r>
          </w:p>
        </w:tc>
        <w:tc>
          <w:tcPr>
            <w:tcW w:w="3714" w:type="dxa"/>
            <w:shd w:val="clear" w:color="auto" w:fill="BCCABD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  <w:lang w:eastAsia="zh-CN"/>
              </w:rPr>
              <w:t>评价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</w:rPr>
              <w:t>细则</w:t>
            </w:r>
          </w:p>
        </w:tc>
        <w:tc>
          <w:tcPr>
            <w:tcW w:w="1701" w:type="dxa"/>
            <w:shd w:val="clear" w:color="auto" w:fill="BCCABD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  <w:lang w:eastAsia="zh-CN"/>
              </w:rPr>
              <w:t>评价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0"/>
                <w:shd w:val="clear" w:color="auto" w:fill="auto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技术先进性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评价该项技术的科技技术水平的高低，是否具有领先引领作用，是否有关键技术的突破。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1.该项技术可在近年内保持先进性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val="en-US"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该项技术在国际、国内或者行业保持领先水平；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2.该项技术在某点或者某个部分有所突破，填补空白，实现关键核心技术上的突破。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5分：极符合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4分：较为符合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3分：符合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2分：较不符合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1分：极不符合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技术成熟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性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评价该项技术的稳定性、可持续性，是否有可借鉴的技术应用成功案例。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1.该项技术的故障率较低，相应建设产品的使用年限较高且便于维护管理；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2.该项技术应用所需配套技术是否成熟完善；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3.该项技术具有完善的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配套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法律法规和技术管理标准体系。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技术适用性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评价该项技术是否根据不同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地区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特性，针对性地运用实施技术。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1.该项技术的应用符合当地的资源、气候和地质条件；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2.该项技术的应用符合当地生产技术条件；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3.该项技术能够满足当地的生产、生活、市场需求。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技术经济效益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评价该项技术在建设和运行阶段所需费用，投资及收益，以及建成后对周边的经济发展影响。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降低整体建造成本以及运营阶段的维护费用，节约项目时间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应用该项技术在全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生命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周期内的投资收益率较高。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技术环境效益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评价该项技术在建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后对周边区域环境带来的影响，是否带来节能减排的效果。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1.该项技术可大大减少污染，节能减排效果显著；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2.该项技术在施工和运行过程中对于废弃物的处理和资源化利用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情况；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3.在后期使用过程中维护费用较低，且技术所应用的设备使用寿命较长；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4.应用该项技术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减少不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再生资源消耗。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技术社会效益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评价该项技术是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否促进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相关产业发展、是否具有示范引领作用、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提升区域人居环境品质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、是否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方便周边居民使用。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1.该项技术可推动相关产业的发展；</w:t>
            </w:r>
          </w:p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2.该项技术立足国际视野，在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全球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范围起到示范和引领作用；</w:t>
            </w:r>
          </w:p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</w:rPr>
              <w:t>.该项技术的应用符合所在地区地域特色、环境特征、自然风貌等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0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0"/>
              </w:rPr>
            </w:pPr>
          </w:p>
        </w:tc>
      </w:tr>
    </w:tbl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15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315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before="140" w:line="226" w:lineRule="auto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广东省未来城市建设及新技术应用</w:t>
      </w:r>
    </w:p>
    <w:p>
      <w:pPr>
        <w:spacing w:before="140" w:line="22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典型案例申报书</w:t>
      </w:r>
    </w:p>
    <w:p>
      <w:pPr>
        <w:spacing w:line="243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24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419" w:lineRule="auto"/>
        <w:ind w:left="2703" w:leftChars="350" w:right="717" w:hanging="1583" w:hangingChars="501"/>
        <w:jc w:val="left"/>
        <w:rPr>
          <w:rFonts w:hint="default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案 例 名 称：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  <w:t xml:space="preserve">   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419" w:lineRule="auto"/>
        <w:ind w:left="2703" w:leftChars="350" w:right="16" w:hanging="1583" w:hangingChars="501"/>
        <w:jc w:val="left"/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牵头申报单位：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none"/>
          <w:lang w:val="en-US" w:eastAsia="zh-CN"/>
        </w:rPr>
        <w:t>（加盖公章）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419" w:lineRule="auto"/>
        <w:ind w:left="2703" w:leftChars="350" w:right="717" w:hanging="1583" w:hangingChars="501"/>
        <w:jc w:val="left"/>
        <w:rPr>
          <w:rFonts w:hint="default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推 荐 单 位：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 xml:space="preserve">      </w:t>
      </w:r>
    </w:p>
    <w:p>
      <w:pPr>
        <w:spacing w:before="101" w:line="419" w:lineRule="auto"/>
        <w:ind w:left="2703" w:leftChars="350" w:right="717" w:hanging="1583" w:hangingChars="501"/>
        <w:rPr>
          <w:spacing w:val="3"/>
        </w:rPr>
        <w:sectPr>
          <w:footerReference r:id="rId6" w:type="default"/>
          <w:pgSz w:w="11906" w:h="16839"/>
          <w:pgMar w:top="1431" w:right="1785" w:bottom="1519" w:left="1785" w:header="0" w:footer="133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lang w:val="en-US" w:eastAsia="zh-CN"/>
        </w:rPr>
        <w:t>填 报 日 期：</w:t>
      </w:r>
      <w:r>
        <w:rPr>
          <w:rFonts w:hint="eastAsia" w:ascii="仿宋_GB2312" w:hAnsi="仿宋_GB2312" w:eastAsia="仿宋_GB2312" w:cs="Times New Roman"/>
          <w:color w:val="000000"/>
          <w:spacing w:val="3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Times New Roman"/>
          <w:color w:val="000000"/>
          <w:spacing w:val="2"/>
          <w:kern w:val="0"/>
          <w:sz w:val="31"/>
          <w:szCs w:val="31"/>
          <w:u w:val="single"/>
          <w:lang w:val="en-US" w:eastAsia="zh-CN"/>
        </w:rPr>
        <w:t xml:space="preserve">                           </w:t>
      </w:r>
    </w:p>
    <w:p>
      <w:pPr>
        <w:spacing w:line="30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305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8"/>
          <w:sz w:val="36"/>
          <w:szCs w:val="36"/>
        </w:rPr>
        <w:t>填</w:t>
      </w:r>
      <w:r>
        <w:rPr>
          <w:rFonts w:ascii="黑体" w:hAnsi="黑体" w:eastAsia="黑体" w:cs="黑体"/>
          <w:spacing w:val="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写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说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明</w:t>
      </w:r>
    </w:p>
    <w:p>
      <w:pPr>
        <w:spacing w:line="35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354" w:lineRule="auto"/>
        <w:rPr>
          <w:rFonts w:ascii="Arial" w:hAnsi="Times New Roman" w:eastAsia="宋体" w:cs="Times New Roman"/>
          <w:sz w:val="21"/>
          <w:szCs w:val="20"/>
        </w:rPr>
      </w:pP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一、请按照模板要求填写各项内容。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二、案例可由一家单位提出，也可以由多家实施单位联 合提出，由牵头单位组织编写。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 技术问题。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</w:rPr>
        <w:sectPr>
          <w:footerReference r:id="rId7" w:type="default"/>
          <w:pgSz w:w="11906" w:h="16839"/>
          <w:pgMar w:top="1431" w:right="1704" w:bottom="1519" w:left="1785" w:header="0" w:footer="1332" w:gutter="0"/>
          <w:pgNumType w:fmt="numberInDash"/>
          <w:cols w:space="720" w:num="1"/>
        </w:sectPr>
      </w:pPr>
      <w:r>
        <w:rPr>
          <w:rFonts w:hint="eastAsia" w:ascii="仿宋" w:hAnsi="仿宋" w:eastAsia="仿宋" w:cs="Times New Roman"/>
          <w:sz w:val="32"/>
          <w:szCs w:val="32"/>
        </w:rPr>
        <w:t>五、申报材料编写应避免过于理论化和技术化，避免体 现申报单位宣传色彩。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基本信息</w:t>
      </w:r>
    </w:p>
    <w:tbl>
      <w:tblPr>
        <w:tblStyle w:val="16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86"/>
        <w:gridCol w:w="774"/>
        <w:gridCol w:w="361"/>
        <w:gridCol w:w="1299"/>
        <w:gridCol w:w="664"/>
        <w:gridCol w:w="997"/>
        <w:gridCol w:w="161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单位信息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组织机构代码/三证合一码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申报主体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联合申报主体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案例地址、实施时间及项目投资额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申报方向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房子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小区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社区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>“好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城区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□数字智慧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□生态韧性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□绿色低碳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□“好房子”关键技术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主要完成人员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人以内）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在项目中担任主要工作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申报主体单位确认盖章</w:t>
            </w:r>
          </w:p>
        </w:tc>
        <w:tc>
          <w:tcPr>
            <w:tcW w:w="6642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 w:cs="宋体"/>
          <w:sz w:val="21"/>
          <w:szCs w:val="21"/>
        </w:rPr>
      </w:pPr>
      <w:r>
        <w:rPr>
          <w:rFonts w:hint="eastAsia" w:ascii="仿宋_GB2312" w:hAnsi="宋体" w:eastAsia="仿宋_GB2312" w:cs="宋体"/>
          <w:sz w:val="21"/>
          <w:szCs w:val="21"/>
        </w:rPr>
        <w:t>注：项目主要完成人员不超过15人。如有联合申报的，请提交“项目联合申报证明”。</w:t>
      </w:r>
      <w:r>
        <w:rPr>
          <w:rFonts w:ascii="仿宋_GB2312" w:hAnsi="宋体" w:eastAsia="仿宋_GB2312" w:cs="宋体"/>
          <w:sz w:val="21"/>
          <w:szCs w:val="21"/>
        </w:rPr>
        <w:br w:type="page"/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</w:trPr>
        <w:tc>
          <w:tcPr>
            <w:tcW w:w="8296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黑体"/>
                <w:sz w:val="28"/>
                <w:szCs w:val="32"/>
              </w:rPr>
            </w:pPr>
            <w:r>
              <w:rPr>
                <w:rFonts w:hint="eastAsia" w:ascii="仿宋" w:hAnsi="仿宋" w:eastAsia="仿宋" w:cs="黑体"/>
                <w:sz w:val="24"/>
                <w:szCs w:val="32"/>
              </w:rPr>
              <w:t>围绕《未来城市建设典型案例评价体系参考》（附件1）、《未来城市新技术应用指标评价体系参考》（附件2）相关要求，从案例开展思路、主要内容、创新亮点、实施成效、满意度情况、经验推广等方面展开论述（3</w:t>
            </w:r>
            <w:r>
              <w:rPr>
                <w:rFonts w:ascii="仿宋" w:hAnsi="仿宋" w:eastAsia="仿宋" w:cs="黑体"/>
                <w:sz w:val="24"/>
                <w:szCs w:val="32"/>
              </w:rPr>
              <w:t>000</w:t>
            </w:r>
            <w:r>
              <w:rPr>
                <w:rFonts w:hint="eastAsia" w:ascii="仿宋" w:hAnsi="仿宋" w:eastAsia="仿宋" w:cs="黑体"/>
                <w:sz w:val="24"/>
                <w:szCs w:val="32"/>
              </w:rPr>
              <w:t>字以内）。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360" w:lineRule="auto"/>
        <w:jc w:val="center"/>
        <w:outlineLvl w:val="1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小标宋" w:hAnsi="小标宋" w:eastAsia="小标宋" w:cs="小标宋"/>
          <w:sz w:val="44"/>
          <w:szCs w:val="44"/>
        </w:rPr>
        <w:t>市未来城市建设及新技术应用典型案例汇总表</w:t>
      </w:r>
    </w:p>
    <w:tbl>
      <w:tblPr>
        <w:tblStyle w:val="15"/>
        <w:tblW w:w="13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840"/>
        <w:gridCol w:w="1184"/>
        <w:gridCol w:w="1873"/>
        <w:gridCol w:w="3968"/>
        <w:gridCol w:w="2091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案例名称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申报维度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申报案例简介</w:t>
            </w:r>
          </w:p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（不超过100字）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直接申报主体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未来城市建设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好房子/好小区/好社区/好城区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7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未来城市新技术应用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数字智慧技术/生态韧性技术/绿色低碳技术/“好房子”关键技术/其他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sectPr>
      <w:footerReference r:id="rId9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69E6128"/>
    <w:rsid w:val="072059DD"/>
    <w:rsid w:val="08187561"/>
    <w:rsid w:val="0D6D37BD"/>
    <w:rsid w:val="10096ED9"/>
    <w:rsid w:val="154A675C"/>
    <w:rsid w:val="18E33AF7"/>
    <w:rsid w:val="1FD562BA"/>
    <w:rsid w:val="21986E79"/>
    <w:rsid w:val="232A49A5"/>
    <w:rsid w:val="272200E8"/>
    <w:rsid w:val="2AF464A5"/>
    <w:rsid w:val="2E46035B"/>
    <w:rsid w:val="33E31D8B"/>
    <w:rsid w:val="34642697"/>
    <w:rsid w:val="364D3F88"/>
    <w:rsid w:val="3D050B77"/>
    <w:rsid w:val="3FA65476"/>
    <w:rsid w:val="494A3BF2"/>
    <w:rsid w:val="49767635"/>
    <w:rsid w:val="4ACD3044"/>
    <w:rsid w:val="4CBD4971"/>
    <w:rsid w:val="4E0451BC"/>
    <w:rsid w:val="4EB05003"/>
    <w:rsid w:val="4F302401"/>
    <w:rsid w:val="50565456"/>
    <w:rsid w:val="56445375"/>
    <w:rsid w:val="597930D2"/>
    <w:rsid w:val="5E1625CE"/>
    <w:rsid w:val="5E2E5564"/>
    <w:rsid w:val="5EF315AC"/>
    <w:rsid w:val="5FAB62E8"/>
    <w:rsid w:val="600D3694"/>
    <w:rsid w:val="6068328D"/>
    <w:rsid w:val="68F522EC"/>
    <w:rsid w:val="698F351B"/>
    <w:rsid w:val="6E9B256F"/>
    <w:rsid w:val="6EDF45FE"/>
    <w:rsid w:val="6EF12BBF"/>
    <w:rsid w:val="715D3A4C"/>
    <w:rsid w:val="774635BA"/>
    <w:rsid w:val="77FA6A46"/>
    <w:rsid w:val="786F6749"/>
    <w:rsid w:val="7B947E4C"/>
    <w:rsid w:val="7C3F0B8D"/>
    <w:rsid w:val="7EEF0F7B"/>
    <w:rsid w:val="7FA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link w:val="33"/>
    <w:qFormat/>
    <w:uiPriority w:val="99"/>
    <w:pPr>
      <w:spacing w:line="240" w:lineRule="auto"/>
      <w:jc w:val="left"/>
    </w:pPr>
    <w:rPr>
      <w:rFonts w:ascii="等线" w:hAnsi="等线" w:eastAsia="等线" w:cs="宋体"/>
      <w:sz w:val="21"/>
      <w:szCs w:val="22"/>
    </w:rPr>
  </w:style>
  <w:style w:type="paragraph" w:styleId="6">
    <w:name w:val="Body Text"/>
    <w:basedOn w:val="1"/>
    <w:link w:val="30"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hint="eastAsia" w:ascii="仿宋_GB2312" w:hAnsi="仿宋_GB2312" w:eastAsia="仿宋_GB2312" w:cs="Times New Roman"/>
      <w:color w:val="000000"/>
      <w:kern w:val="0"/>
      <w:sz w:val="31"/>
      <w:szCs w:val="31"/>
    </w:rPr>
  </w:style>
  <w:style w:type="paragraph" w:styleId="7">
    <w:name w:val="Date"/>
    <w:basedOn w:val="1"/>
    <w:next w:val="1"/>
    <w:link w:val="35"/>
    <w:qFormat/>
    <w:uiPriority w:val="99"/>
    <w:pPr>
      <w:spacing w:line="240" w:lineRule="auto"/>
      <w:ind w:left="100" w:leftChars="2500"/>
    </w:pPr>
    <w:rPr>
      <w:rFonts w:ascii="等线" w:hAnsi="等线" w:eastAsia="等线" w:cs="宋体"/>
      <w:sz w:val="21"/>
      <w:szCs w:val="22"/>
    </w:rPr>
  </w:style>
  <w:style w:type="paragraph" w:styleId="8">
    <w:name w:val="Balloon Text"/>
    <w:basedOn w:val="1"/>
    <w:link w:val="27"/>
    <w:qFormat/>
    <w:uiPriority w:val="99"/>
    <w:pPr>
      <w:spacing w:line="240" w:lineRule="auto"/>
    </w:pPr>
    <w:rPr>
      <w:rFonts w:ascii="等线" w:hAnsi="等线" w:eastAsia="等线" w:cs="宋体"/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99"/>
    <w:pPr>
      <w:snapToGrid w:val="0"/>
      <w:spacing w:line="240" w:lineRule="auto"/>
      <w:jc w:val="left"/>
    </w:pPr>
    <w:rPr>
      <w:rFonts w:ascii="等线" w:hAnsi="等线" w:eastAsia="等线" w:cs="宋体"/>
      <w:sz w:val="18"/>
      <w:szCs w:val="18"/>
    </w:rPr>
  </w:style>
  <w:style w:type="paragraph" w:styleId="12">
    <w:name w:val="Normal (Web)"/>
    <w:basedOn w:val="1"/>
    <w:qFormat/>
    <w:uiPriority w:val="99"/>
    <w:pPr>
      <w:spacing w:line="240" w:lineRule="auto"/>
    </w:pPr>
    <w:rPr>
      <w:rFonts w:ascii="等线" w:hAnsi="等线" w:eastAsia="等线" w:cs="宋体"/>
      <w:sz w:val="24"/>
      <w:szCs w:val="22"/>
    </w:rPr>
  </w:style>
  <w:style w:type="paragraph" w:styleId="13">
    <w:name w:val="Title"/>
    <w:basedOn w:val="1"/>
    <w:next w:val="1"/>
    <w:link w:val="22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4">
    <w:name w:val="annotation subject"/>
    <w:basedOn w:val="5"/>
    <w:next w:val="5"/>
    <w:link w:val="34"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20"/>
    <w:rPr>
      <w:rFonts w:ascii="Times New Roman" w:hAnsi="Times New Roman" w:eastAsia="宋体" w:cs="Times New Roman"/>
      <w:i/>
    </w:rPr>
  </w:style>
  <w:style w:type="character" w:styleId="19">
    <w:name w:val="Hyperlink"/>
    <w:basedOn w:val="17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0">
    <w:name w:val="annotation reference"/>
    <w:basedOn w:val="17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21">
    <w:name w:val="footnote reference"/>
    <w:basedOn w:val="17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2">
    <w:name w:val="标题 字符"/>
    <w:basedOn w:val="17"/>
    <w:link w:val="13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23">
    <w:name w:val="标题 1 字符"/>
    <w:basedOn w:val="17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24">
    <w:name w:val="标题 2 字符"/>
    <w:basedOn w:val="17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5">
    <w:name w:val="页眉 字符"/>
    <w:basedOn w:val="17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6">
    <w:name w:val="页脚 字符"/>
    <w:basedOn w:val="17"/>
    <w:link w:val="9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7">
    <w:name w:val="批注框文本 字符"/>
    <w:basedOn w:val="17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Char Char Char Char Char Char 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1"/>
      <w:szCs w:val="24"/>
    </w:rPr>
  </w:style>
  <w:style w:type="paragraph" w:customStyle="1" w:styleId="29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30">
    <w:name w:val="正文文本 字符"/>
    <w:basedOn w:val="17"/>
    <w:link w:val="6"/>
    <w:qFormat/>
    <w:uiPriority w:val="0"/>
    <w:rPr>
      <w:rFonts w:hint="eastAsia" w:ascii="仿宋_GB2312" w:hAnsi="仿宋_GB2312" w:eastAsia="仿宋_GB2312" w:cs="Times New Roman"/>
      <w:color w:val="000000"/>
      <w:kern w:val="0"/>
      <w:sz w:val="31"/>
      <w:szCs w:val="31"/>
    </w:rPr>
  </w:style>
  <w:style w:type="paragraph" w:customStyle="1" w:styleId="31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</w:rPr>
  </w:style>
  <w:style w:type="table" w:customStyle="1" w:styleId="32">
    <w:name w:val="Table Normal"/>
    <w:basedOn w:val="15"/>
    <w:qFormat/>
    <w:uiPriority w:val="0"/>
    <w:tblPr>
      <w:tblCellMar>
        <w:left w:w="0" w:type="dxa"/>
        <w:right w:w="0" w:type="dxa"/>
      </w:tblCellMar>
    </w:tblPr>
  </w:style>
  <w:style w:type="character" w:customStyle="1" w:styleId="33">
    <w:name w:val="批注文字 字符"/>
    <w:basedOn w:val="17"/>
    <w:link w:val="5"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批注主题 字符"/>
    <w:basedOn w:val="33"/>
    <w:link w:val="14"/>
    <w:qFormat/>
    <w:uiPriority w:val="99"/>
    <w:rPr>
      <w:b/>
      <w:bCs/>
    </w:rPr>
  </w:style>
  <w:style w:type="character" w:customStyle="1" w:styleId="35">
    <w:name w:val="日期 字符"/>
    <w:basedOn w:val="17"/>
    <w:link w:val="7"/>
    <w:qFormat/>
    <w:uiPriority w:val="99"/>
    <w:rPr>
      <w:rFonts w:ascii="Times New Roman" w:hAnsi="Times New Roman" w:eastAsia="宋体" w:cs="Times New Roman"/>
    </w:rPr>
  </w:style>
  <w:style w:type="paragraph" w:styleId="36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="等线" w:hAnsi="等线" w:eastAsia="等线" w:cs="宋体"/>
      <w:sz w:val="21"/>
      <w:szCs w:val="22"/>
    </w:rPr>
  </w:style>
  <w:style w:type="paragraph" w:customStyle="1" w:styleId="3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省安全生产监督管理局</Company>
  <Pages>20</Pages>
  <Words>5328</Words>
  <Characters>5494</Characters>
  <Lines>1</Lines>
  <Paragraphs>451</Paragraphs>
  <TotalTime>12</TotalTime>
  <ScaleCrop>false</ScaleCrop>
  <LinksUpToDate>false</LinksUpToDate>
  <CharactersWithSpaces>5667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2024-09-05T10:00:00Z</dcterms:created>
  <dc:creator>Administrator</dc:creator>
  <cp:lastModifiedBy>凌红梅</cp:lastModifiedBy>
  <cp:lastPrinted>2024-08-30T09:56:00Z</cp:lastPrinted>
  <dcterms:modified xsi:type="dcterms:W3CDTF">2024-09-06T10:05:51Z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5C024E880B7B4E61A833FF6254CB2C73</vt:lpwstr>
  </property>
  <property fmtid="{D5CDD505-2E9C-101B-9397-08002B2CF9AE}" pid="4" name="showFlag">
    <vt:bool>true</vt:bool>
  </property>
</Properties>
</file>