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4121A">
      <w:pPr>
        <w:keepNext w:val="0"/>
        <w:keepLines w:val="0"/>
        <w:pageBreakBefore w:val="0"/>
        <w:kinsoku/>
        <w:wordWrap/>
        <w:overflowPunct/>
        <w:topLinePunct w:val="0"/>
        <w:bidi w:val="0"/>
        <w:spacing w:line="560" w:lineRule="exact"/>
        <w:jc w:val="left"/>
        <w:textAlignment w:val="auto"/>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件4</w:t>
      </w:r>
    </w:p>
    <w:p w14:paraId="228D490B">
      <w:pPr>
        <w:keepNext w:val="0"/>
        <w:keepLines w:val="0"/>
        <w:pageBreakBefore w:val="0"/>
        <w:kinsoku/>
        <w:wordWrap/>
        <w:overflowPunct/>
        <w:topLinePunct w:val="0"/>
        <w:bidi w:val="0"/>
        <w:spacing w:line="560" w:lineRule="exact"/>
        <w:jc w:val="center"/>
        <w:textAlignment w:val="auto"/>
        <w:outlineLvl w:val="1"/>
        <w:rPr>
          <w:rFonts w:hint="default" w:ascii="Times New Roman" w:hAnsi="Times New Roman" w:eastAsia="方正小标宋简体" w:cs="Times New Roman"/>
          <w:bCs/>
          <w:sz w:val="44"/>
          <w:szCs w:val="44"/>
          <w:highlight w:val="none"/>
        </w:rPr>
      </w:pPr>
      <w:r>
        <w:rPr>
          <w:rFonts w:hint="default" w:ascii="Times New Roman" w:hAnsi="Times New Roman" w:eastAsia="方正小标宋简体" w:cs="Times New Roman"/>
          <w:bCs/>
          <w:sz w:val="44"/>
          <w:szCs w:val="44"/>
          <w:highlight w:val="none"/>
        </w:rPr>
        <w:t>绿色</w:t>
      </w:r>
      <w:r>
        <w:rPr>
          <w:rFonts w:hint="default" w:ascii="Times New Roman" w:hAnsi="Times New Roman" w:eastAsia="方正小标宋简体" w:cs="Times New Roman"/>
          <w:bCs/>
          <w:sz w:val="44"/>
          <w:szCs w:val="44"/>
          <w:highlight w:val="none"/>
          <w:lang w:val="en"/>
        </w:rPr>
        <w:t>工业</w:t>
      </w:r>
      <w:r>
        <w:rPr>
          <w:rFonts w:hint="default" w:ascii="Times New Roman" w:hAnsi="Times New Roman" w:eastAsia="方正小标宋简体" w:cs="Times New Roman"/>
          <w:bCs/>
          <w:sz w:val="44"/>
          <w:szCs w:val="44"/>
          <w:highlight w:val="none"/>
        </w:rPr>
        <w:t>园区评价要求</w:t>
      </w:r>
    </w:p>
    <w:p w14:paraId="3BC243E6">
      <w:pPr>
        <w:keepNext w:val="0"/>
        <w:keepLines w:val="0"/>
        <w:pageBreakBefore w:val="0"/>
        <w:kinsoku/>
        <w:wordWrap/>
        <w:overflowPunct/>
        <w:topLinePunct w:val="0"/>
        <w:bidi w:val="0"/>
        <w:spacing w:line="560" w:lineRule="exact"/>
        <w:ind w:firstLine="643" w:firstLineChars="200"/>
        <w:textAlignment w:val="auto"/>
        <w:rPr>
          <w:rFonts w:hint="default" w:ascii="Times New Roman" w:hAnsi="Times New Roman" w:eastAsia="仿宋_GB2312" w:cs="Times New Roman"/>
          <w:b/>
          <w:sz w:val="32"/>
          <w:szCs w:val="32"/>
        </w:rPr>
      </w:pPr>
    </w:p>
    <w:p w14:paraId="62CED461">
      <w:pPr>
        <w:keepNext w:val="0"/>
        <w:keepLines w:val="0"/>
        <w:pageBreakBefore w:val="0"/>
        <w:kinsoku/>
        <w:wordWrap/>
        <w:overflowPunct/>
        <w:topLinePunct w:val="0"/>
        <w:bidi w:val="0"/>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14:paraId="3510642B">
      <w:pPr>
        <w:keepNext w:val="0"/>
        <w:keepLines w:val="0"/>
        <w:pageBreakBefore w:val="0"/>
        <w:kinsoku/>
        <w:wordWrap/>
        <w:overflowPunct/>
        <w:topLinePunct w:val="0"/>
        <w:bidi w:val="0"/>
        <w:spacing w:line="560" w:lineRule="exact"/>
        <w:ind w:firstLine="630"/>
        <w:textAlignment w:val="auto"/>
        <w:rPr>
          <w:rFonts w:hint="default" w:ascii="楷体" w:hAnsi="楷体" w:eastAsia="楷体" w:cs="楷体"/>
          <w:sz w:val="32"/>
          <w:szCs w:val="32"/>
        </w:rPr>
      </w:pPr>
      <w:r>
        <w:rPr>
          <w:rFonts w:hint="default" w:ascii="楷体" w:hAnsi="楷体" w:eastAsia="楷体" w:cs="楷体"/>
          <w:sz w:val="32"/>
          <w:szCs w:val="32"/>
        </w:rPr>
        <w:t>（一）基本要求</w:t>
      </w:r>
    </w:p>
    <w:p w14:paraId="4C48A95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default" w:ascii="仿宋_GB2312" w:hAnsi="仿宋_GB2312" w:eastAsia="仿宋_GB2312" w:cs="仿宋_GB2312"/>
          <w:b w:val="0"/>
          <w:bCs w:val="0"/>
          <w:color w:val="auto"/>
          <w:kern w:val="0"/>
          <w:sz w:val="32"/>
          <w:szCs w:val="32"/>
          <w:highlight w:val="none"/>
          <w:u w:val="none"/>
          <w:lang w:val="en-US" w:eastAsia="zh-CN" w:bidi="ar"/>
        </w:rPr>
        <w:t>1.国家和地方绿色、循环和低碳相关法律法规、政策和标准应得到有效的贯彻执行。涉及化工园区的应通过省级人民政府或其授权机构认定。</w:t>
      </w:r>
    </w:p>
    <w:p w14:paraId="110AC29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default" w:ascii="仿宋_GB2312" w:hAnsi="仿宋_GB2312" w:eastAsia="仿宋_GB2312" w:cs="仿宋_GB2312"/>
          <w:b w:val="0"/>
          <w:bCs w:val="0"/>
          <w:color w:val="auto"/>
          <w:kern w:val="0"/>
          <w:sz w:val="32"/>
          <w:szCs w:val="32"/>
          <w:highlight w:val="none"/>
          <w:u w:val="none"/>
          <w:lang w:val="en-US" w:eastAsia="zh-CN" w:bidi="ar"/>
        </w:rPr>
        <w:t>2.近三年，未发生重大污染事故或重大生态破坏事件，完成国家或地方政府下达的节能减排指标，碳排放强度持续下降。</w:t>
      </w:r>
    </w:p>
    <w:p w14:paraId="1DFE817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default" w:ascii="仿宋_GB2312" w:hAnsi="仿宋_GB2312" w:eastAsia="仿宋_GB2312" w:cs="仿宋_GB2312"/>
          <w:b w:val="0"/>
          <w:bCs w:val="0"/>
          <w:color w:val="auto"/>
          <w:kern w:val="0"/>
          <w:sz w:val="32"/>
          <w:szCs w:val="32"/>
          <w:highlight w:val="none"/>
          <w:u w:val="none"/>
          <w:lang w:val="en-US" w:eastAsia="zh-CN" w:bidi="ar"/>
        </w:rPr>
        <w:t>3.环境质量达到国家或地方规定的环境功能区环境质量标准，园区内企业污染物达标排放，各类重点污染物排放总量均不超过国家或地方的总量控制要求。</w:t>
      </w:r>
    </w:p>
    <w:p w14:paraId="31D1AE7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default" w:ascii="仿宋_GB2312" w:hAnsi="仿宋_GB2312" w:eastAsia="仿宋_GB2312" w:cs="仿宋_GB2312"/>
          <w:b w:val="0"/>
          <w:bCs w:val="0"/>
          <w:color w:val="auto"/>
          <w:kern w:val="0"/>
          <w:sz w:val="32"/>
          <w:szCs w:val="32"/>
          <w:highlight w:val="none"/>
          <w:u w:val="none"/>
          <w:lang w:val="en-US" w:eastAsia="zh-CN" w:bidi="ar"/>
        </w:rPr>
        <w:t>4.园区</w:t>
      </w:r>
      <w:bookmarkStart w:id="0" w:name="_GoBack"/>
      <w:bookmarkEnd w:id="0"/>
      <w:r>
        <w:rPr>
          <w:rFonts w:hint="default" w:ascii="仿宋_GB2312" w:hAnsi="仿宋_GB2312" w:eastAsia="仿宋_GB2312" w:cs="仿宋_GB2312"/>
          <w:b w:val="0"/>
          <w:bCs w:val="0"/>
          <w:color w:val="auto"/>
          <w:kern w:val="0"/>
          <w:sz w:val="32"/>
          <w:szCs w:val="32"/>
          <w:highlight w:val="none"/>
          <w:u w:val="none"/>
          <w:lang w:val="en-US" w:eastAsia="zh-CN" w:bidi="ar"/>
        </w:rPr>
        <w:t>内属于《清洁生产促进法》中规定的应当实施强制性清洁生产审核的企业（评价期当年及之前公布的重点企业清洁生产审核名单中的企业）应100%实施清洁生产审核。</w:t>
      </w:r>
    </w:p>
    <w:p w14:paraId="689CAE6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default" w:ascii="仿宋_GB2312" w:hAnsi="仿宋_GB2312" w:eastAsia="仿宋_GB2312" w:cs="仿宋_GB2312"/>
          <w:b w:val="0"/>
          <w:bCs w:val="0"/>
          <w:color w:val="auto"/>
          <w:kern w:val="0"/>
          <w:sz w:val="32"/>
          <w:szCs w:val="32"/>
          <w:highlight w:val="none"/>
          <w:u w:val="none"/>
          <w:lang w:val="en-US" w:eastAsia="zh-CN" w:bidi="ar"/>
        </w:rPr>
        <w:t>5.园区企业不应使用国家列入淘汰目录的落后生产技术、工艺和设备，不应生产国家列入淘汰目录的产品。</w:t>
      </w:r>
    </w:p>
    <w:p w14:paraId="1E9868B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default" w:ascii="仿宋_GB2312" w:hAnsi="仿宋_GB2312" w:eastAsia="仿宋_GB2312" w:cs="仿宋_GB2312"/>
          <w:b w:val="0"/>
          <w:bCs w:val="0"/>
          <w:color w:val="auto"/>
          <w:kern w:val="0"/>
          <w:sz w:val="32"/>
          <w:szCs w:val="32"/>
          <w:highlight w:val="none"/>
          <w:u w:val="none"/>
          <w:lang w:val="en-US" w:eastAsia="zh-CN" w:bidi="ar"/>
        </w:rPr>
        <w:t>6.园区建有履行绿色发展工作职责的专门机构、配备2名以上专职工作人员。</w:t>
      </w:r>
    </w:p>
    <w:p w14:paraId="2460BA6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default" w:ascii="仿宋_GB2312" w:hAnsi="仿宋_GB2312" w:eastAsia="仿宋_GB2312" w:cs="仿宋_GB2312"/>
          <w:b w:val="0"/>
          <w:bCs w:val="0"/>
          <w:color w:val="auto"/>
          <w:kern w:val="0"/>
          <w:sz w:val="32"/>
          <w:szCs w:val="32"/>
          <w:highlight w:val="none"/>
          <w:u w:val="none"/>
          <w:lang w:val="en-US" w:eastAsia="zh-CN" w:bidi="ar"/>
        </w:rPr>
        <w:t>7.鼓励园区建立并运行环境管理体系和能源管理体系，建立园区能源监测管理平台。</w:t>
      </w:r>
    </w:p>
    <w:p w14:paraId="4A29FB1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default" w:ascii="仿宋_GB2312" w:hAnsi="仿宋_GB2312" w:eastAsia="仿宋_GB2312" w:cs="仿宋_GB2312"/>
          <w:b w:val="0"/>
          <w:bCs w:val="0"/>
          <w:color w:val="auto"/>
          <w:kern w:val="0"/>
          <w:sz w:val="32"/>
          <w:szCs w:val="32"/>
          <w:highlight w:val="none"/>
          <w:u w:val="none"/>
          <w:lang w:val="en-US" w:eastAsia="zh-CN" w:bidi="ar"/>
        </w:rPr>
        <w:t>8.鼓励园区建设并运行风能、太阳能等可再生能源应用设施。</w:t>
      </w:r>
    </w:p>
    <w:p w14:paraId="78774165">
      <w:pPr>
        <w:keepNext w:val="0"/>
        <w:keepLines w:val="0"/>
        <w:pageBreakBefore w:val="0"/>
        <w:kinsoku/>
        <w:wordWrap/>
        <w:overflowPunct/>
        <w:topLinePunct w:val="0"/>
        <w:bidi w:val="0"/>
        <w:spacing w:line="560" w:lineRule="exact"/>
        <w:ind w:firstLine="630"/>
        <w:textAlignment w:val="auto"/>
        <w:rPr>
          <w:rFonts w:hint="default" w:ascii="楷体" w:hAnsi="楷体" w:eastAsia="楷体" w:cs="楷体"/>
          <w:sz w:val="32"/>
          <w:szCs w:val="32"/>
        </w:rPr>
      </w:pPr>
      <w:r>
        <w:rPr>
          <w:rFonts w:hint="default" w:ascii="楷体" w:hAnsi="楷体" w:eastAsia="楷体" w:cs="楷体"/>
          <w:sz w:val="32"/>
          <w:szCs w:val="32"/>
        </w:rPr>
        <w:t>（二）评价指标构成</w:t>
      </w:r>
    </w:p>
    <w:p w14:paraId="26E45B53">
      <w:pPr>
        <w:keepNext w:val="0"/>
        <w:keepLines w:val="0"/>
        <w:pageBreakBefore w:val="0"/>
        <w:kinsoku/>
        <w:wordWrap/>
        <w:overflowPunct/>
        <w:topLinePunct w:val="0"/>
        <w:bidi w:val="0"/>
        <w:spacing w:line="560" w:lineRule="exact"/>
        <w:ind w:firstLine="630"/>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eastAsia" w:ascii="仿宋_GB2312" w:hAnsi="仿宋_GB2312" w:eastAsia="仿宋_GB2312" w:cs="仿宋_GB2312"/>
          <w:b w:val="0"/>
          <w:bCs w:val="0"/>
          <w:color w:val="auto"/>
          <w:kern w:val="0"/>
          <w:sz w:val="32"/>
          <w:szCs w:val="32"/>
          <w:highlight w:val="none"/>
          <w:u w:val="none"/>
          <w:lang w:val="en-US" w:eastAsia="zh-CN" w:bidi="ar"/>
        </w:rPr>
        <w:t>绿色工业园区</w:t>
      </w:r>
      <w:r>
        <w:rPr>
          <w:rFonts w:hint="default" w:ascii="仿宋_GB2312" w:hAnsi="仿宋_GB2312" w:eastAsia="仿宋_GB2312" w:cs="仿宋_GB2312"/>
          <w:b w:val="0"/>
          <w:bCs w:val="0"/>
          <w:color w:val="auto"/>
          <w:kern w:val="0"/>
          <w:sz w:val="32"/>
          <w:szCs w:val="32"/>
          <w:highlight w:val="none"/>
          <w:u w:val="none"/>
          <w:lang w:val="en-US" w:eastAsia="zh-CN" w:bidi="ar"/>
        </w:rPr>
        <w:t>评价指标体系包括能源利用绿色化指标、资源利用绿色化指标、基础设施绿色化指标、产业绿色化指标、生态环境绿色化指标、运行管理绿色化指标6个方面。具体如附表</w:t>
      </w:r>
      <w:r>
        <w:rPr>
          <w:rFonts w:hint="eastAsia" w:ascii="仿宋_GB2312" w:hAnsi="仿宋_GB2312" w:eastAsia="仿宋_GB2312" w:cs="仿宋_GB2312"/>
          <w:b w:val="0"/>
          <w:bCs w:val="0"/>
          <w:color w:val="auto"/>
          <w:kern w:val="0"/>
          <w:sz w:val="32"/>
          <w:szCs w:val="32"/>
          <w:highlight w:val="none"/>
          <w:u w:val="none"/>
          <w:lang w:val="en-US" w:eastAsia="zh-CN" w:bidi="ar"/>
        </w:rPr>
        <w:t>2.</w:t>
      </w:r>
      <w:r>
        <w:rPr>
          <w:rFonts w:hint="default" w:ascii="仿宋_GB2312" w:hAnsi="仿宋_GB2312" w:eastAsia="仿宋_GB2312" w:cs="仿宋_GB2312"/>
          <w:b w:val="0"/>
          <w:bCs w:val="0"/>
          <w:color w:val="auto"/>
          <w:kern w:val="0"/>
          <w:sz w:val="32"/>
          <w:szCs w:val="32"/>
          <w:highlight w:val="none"/>
          <w:u w:val="none"/>
          <w:lang w:val="en-US" w:eastAsia="zh-CN" w:bidi="ar"/>
        </w:rPr>
        <w:t>1所示。</w:t>
      </w:r>
    </w:p>
    <w:p w14:paraId="1795C166">
      <w:pPr>
        <w:keepNext w:val="0"/>
        <w:keepLines w:val="0"/>
        <w:pageBreakBefore w:val="0"/>
        <w:kinsoku/>
        <w:wordWrap/>
        <w:overflowPunct/>
        <w:topLinePunct w:val="0"/>
        <w:bidi w:val="0"/>
        <w:spacing w:line="560" w:lineRule="exact"/>
        <w:ind w:firstLine="630"/>
        <w:jc w:val="center"/>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w:t>
      </w:r>
      <w:r>
        <w:rPr>
          <w:rFonts w:hint="eastAsia"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1 </w:t>
      </w:r>
      <w:r>
        <w:rPr>
          <w:rFonts w:hint="eastAsia" w:ascii="Times New Roman" w:hAnsi="Times New Roman" w:eastAsia="黑体" w:cs="Times New Roman"/>
          <w:sz w:val="28"/>
          <w:szCs w:val="28"/>
          <w:lang w:eastAsia="zh-CN"/>
        </w:rPr>
        <w:t>绿色工业园区</w:t>
      </w:r>
      <w:r>
        <w:rPr>
          <w:rFonts w:hint="default" w:ascii="Times New Roman" w:hAnsi="Times New Roman" w:eastAsia="黑体" w:cs="Times New Roman"/>
          <w:sz w:val="28"/>
          <w:szCs w:val="28"/>
        </w:rPr>
        <w:t>评价指标体系</w:t>
      </w:r>
    </w:p>
    <w:tbl>
      <w:tblPr>
        <w:tblStyle w:val="4"/>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680"/>
        <w:gridCol w:w="1140"/>
        <w:gridCol w:w="1276"/>
        <w:gridCol w:w="1363"/>
      </w:tblGrid>
      <w:tr w14:paraId="133C6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459" w:type="dxa"/>
            <w:vAlign w:val="center"/>
          </w:tcPr>
          <w:p w14:paraId="3FC2E2BA">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一级指标</w:t>
            </w:r>
          </w:p>
        </w:tc>
        <w:tc>
          <w:tcPr>
            <w:tcW w:w="869" w:type="dxa"/>
            <w:vAlign w:val="center"/>
          </w:tcPr>
          <w:p w14:paraId="5C540AC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序号</w:t>
            </w:r>
          </w:p>
        </w:tc>
        <w:tc>
          <w:tcPr>
            <w:tcW w:w="3680" w:type="dxa"/>
            <w:vAlign w:val="center"/>
          </w:tcPr>
          <w:p w14:paraId="0A99BF7A">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二级指标</w:t>
            </w:r>
          </w:p>
        </w:tc>
        <w:tc>
          <w:tcPr>
            <w:tcW w:w="1140" w:type="dxa"/>
            <w:vAlign w:val="center"/>
          </w:tcPr>
          <w:p w14:paraId="72CBE24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单位</w:t>
            </w:r>
          </w:p>
        </w:tc>
        <w:tc>
          <w:tcPr>
            <w:tcW w:w="1276" w:type="dxa"/>
            <w:vAlign w:val="center"/>
          </w:tcPr>
          <w:p w14:paraId="2164653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b/>
                <w:bCs/>
                <w:kern w:val="0"/>
                <w:sz w:val="28"/>
                <w:szCs w:val="28"/>
                <w:lang w:val="en-US" w:eastAsia="zh-CN"/>
              </w:rPr>
            </w:pPr>
            <w:r>
              <w:rPr>
                <w:rFonts w:hint="default" w:ascii="Times New Roman" w:hAnsi="Times New Roman" w:eastAsia="仿宋_GB2312" w:cs="Times New Roman"/>
                <w:b/>
                <w:bCs/>
                <w:kern w:val="0"/>
                <w:sz w:val="28"/>
                <w:szCs w:val="28"/>
                <w:lang w:val="en-US" w:eastAsia="zh-CN"/>
              </w:rPr>
              <w:t>引领值</w:t>
            </w:r>
          </w:p>
        </w:tc>
        <w:tc>
          <w:tcPr>
            <w:tcW w:w="1363" w:type="dxa"/>
            <w:vAlign w:val="center"/>
          </w:tcPr>
          <w:p w14:paraId="1F6D17D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b/>
                <w:bCs/>
                <w:kern w:val="0"/>
                <w:sz w:val="28"/>
                <w:szCs w:val="28"/>
                <w:lang w:eastAsia="zh-CN"/>
              </w:rPr>
            </w:pPr>
            <w:r>
              <w:rPr>
                <w:rFonts w:hint="default" w:ascii="Times New Roman" w:hAnsi="Times New Roman" w:eastAsia="仿宋_GB2312" w:cs="Times New Roman"/>
                <w:b/>
                <w:bCs/>
                <w:kern w:val="0"/>
                <w:sz w:val="28"/>
                <w:szCs w:val="28"/>
                <w:lang w:val="en-US" w:eastAsia="zh-CN"/>
              </w:rPr>
              <w:t>类型</w:t>
            </w:r>
          </w:p>
        </w:tc>
      </w:tr>
      <w:tr w14:paraId="1440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9" w:type="dxa"/>
            <w:vMerge w:val="restart"/>
            <w:vAlign w:val="center"/>
          </w:tcPr>
          <w:p w14:paraId="7AADCB5D">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能源利用绿色化指标（EG）</w:t>
            </w:r>
          </w:p>
        </w:tc>
        <w:tc>
          <w:tcPr>
            <w:tcW w:w="869" w:type="dxa"/>
            <w:vAlign w:val="center"/>
          </w:tcPr>
          <w:p w14:paraId="730E0C8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680" w:type="dxa"/>
            <w:vAlign w:val="center"/>
          </w:tcPr>
          <w:p w14:paraId="2A50366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140" w:type="dxa"/>
            <w:vAlign w:val="center"/>
          </w:tcPr>
          <w:p w14:paraId="1BBFD93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14:paraId="2E2A43D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14:paraId="428267B7">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7651D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1236CE3D">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3D59ABE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680" w:type="dxa"/>
            <w:vAlign w:val="center"/>
          </w:tcPr>
          <w:p w14:paraId="2A46169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140" w:type="dxa"/>
            <w:vAlign w:val="center"/>
          </w:tcPr>
          <w:p w14:paraId="51F6E0A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59A2DA3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14:paraId="461C185B">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57F9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459" w:type="dxa"/>
            <w:vMerge w:val="continue"/>
            <w:vAlign w:val="center"/>
          </w:tcPr>
          <w:p w14:paraId="242ED18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1054536C">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680" w:type="dxa"/>
            <w:vAlign w:val="center"/>
          </w:tcPr>
          <w:p w14:paraId="2FC01E3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140" w:type="dxa"/>
            <w:vAlign w:val="center"/>
          </w:tcPr>
          <w:p w14:paraId="75F0A7AC">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405310AB">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14:paraId="5BDD4AE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7719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vMerge w:val="restart"/>
            <w:vAlign w:val="center"/>
          </w:tcPr>
          <w:p w14:paraId="6952FBA0">
            <w:pPr>
              <w:keepNext w:val="0"/>
              <w:keepLines w:val="0"/>
              <w:pageBreakBefore w:val="0"/>
              <w:kinsoku/>
              <w:wordWrap/>
              <w:overflowPunct/>
              <w:topLinePunct w:val="0"/>
              <w:bidi w:val="0"/>
              <w:adjustRightInd w:val="0"/>
              <w:snapToGrid w:val="0"/>
              <w:spacing w:line="560" w:lineRule="exact"/>
              <w:jc w:val="center"/>
              <w:textAlignment w:val="auto"/>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资源利用绿色化指标</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RG</w:t>
            </w:r>
            <w:r>
              <w:rPr>
                <w:rFonts w:hint="eastAsia" w:ascii="Times New Roman" w:hAnsi="Times New Roman" w:eastAsia="仿宋_GB2312" w:cs="Times New Roman"/>
                <w:kern w:val="0"/>
                <w:sz w:val="28"/>
                <w:szCs w:val="28"/>
                <w:lang w:eastAsia="zh-CN"/>
              </w:rPr>
              <w:t>）</w:t>
            </w:r>
          </w:p>
        </w:tc>
        <w:tc>
          <w:tcPr>
            <w:tcW w:w="869" w:type="dxa"/>
            <w:vAlign w:val="center"/>
          </w:tcPr>
          <w:p w14:paraId="3FC944E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680" w:type="dxa"/>
            <w:vAlign w:val="center"/>
          </w:tcPr>
          <w:p w14:paraId="0FD7E647">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140" w:type="dxa"/>
            <w:vAlign w:val="center"/>
          </w:tcPr>
          <w:p w14:paraId="1716E6E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元/m3</w:t>
            </w:r>
          </w:p>
        </w:tc>
        <w:tc>
          <w:tcPr>
            <w:tcW w:w="1276" w:type="dxa"/>
            <w:vAlign w:val="center"/>
          </w:tcPr>
          <w:p w14:paraId="69412FBC">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14:paraId="2FD0D9C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1935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5DD27287">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54EEDB8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680" w:type="dxa"/>
            <w:vAlign w:val="center"/>
          </w:tcPr>
          <w:p w14:paraId="4D47878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140" w:type="dxa"/>
            <w:vAlign w:val="center"/>
          </w:tcPr>
          <w:p w14:paraId="4DF5278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亿元/km2</w:t>
            </w:r>
          </w:p>
        </w:tc>
        <w:tc>
          <w:tcPr>
            <w:tcW w:w="1276" w:type="dxa"/>
            <w:vAlign w:val="center"/>
          </w:tcPr>
          <w:p w14:paraId="0FDB66C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14:paraId="58B826BC">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2CEC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1035F1FA">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1D9B646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680" w:type="dxa"/>
            <w:vAlign w:val="center"/>
          </w:tcPr>
          <w:p w14:paraId="374C2A7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140" w:type="dxa"/>
            <w:vAlign w:val="center"/>
          </w:tcPr>
          <w:p w14:paraId="3473CBF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24931AF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14:paraId="03B9C6A9">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6772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243ACA9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39F9BCF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680" w:type="dxa"/>
            <w:vAlign w:val="center"/>
          </w:tcPr>
          <w:p w14:paraId="701991E7">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140" w:type="dxa"/>
            <w:vAlign w:val="center"/>
          </w:tcPr>
          <w:p w14:paraId="0A56406B">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46F35DF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14:paraId="3E37580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54F7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5CFB986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2EFDDFE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680" w:type="dxa"/>
            <w:vAlign w:val="center"/>
          </w:tcPr>
          <w:p w14:paraId="7B5EB0BD">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140" w:type="dxa"/>
            <w:vAlign w:val="center"/>
          </w:tcPr>
          <w:p w14:paraId="1075BC4C">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5544A03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14:paraId="63A1A2C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14:paraId="2020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548258ED">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17D070B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680" w:type="dxa"/>
            <w:vAlign w:val="center"/>
          </w:tcPr>
          <w:p w14:paraId="418CB039">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140" w:type="dxa"/>
            <w:vAlign w:val="center"/>
          </w:tcPr>
          <w:p w14:paraId="19D32CCB">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03AFB34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14:paraId="2E9BC46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r>
      <w:tr w14:paraId="5129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116DE1BB">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20CDA7C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680" w:type="dxa"/>
            <w:vAlign w:val="center"/>
          </w:tcPr>
          <w:p w14:paraId="420497C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140" w:type="dxa"/>
            <w:vAlign w:val="center"/>
          </w:tcPr>
          <w:p w14:paraId="67970D3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3CA88AA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14:paraId="48E231CD">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r>
      <w:tr w14:paraId="723C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44311E2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19E325D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680" w:type="dxa"/>
            <w:vAlign w:val="center"/>
          </w:tcPr>
          <w:p w14:paraId="221B4849">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140" w:type="dxa"/>
            <w:vAlign w:val="center"/>
          </w:tcPr>
          <w:p w14:paraId="25F1272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5C865BF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14:paraId="102337C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r>
      <w:tr w14:paraId="4024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14:paraId="6CA33AE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14:paraId="7BBEB6FD">
            <w:pPr>
              <w:keepNext w:val="0"/>
              <w:keepLines w:val="0"/>
              <w:pageBreakBefore w:val="0"/>
              <w:kinsoku/>
              <w:wordWrap/>
              <w:overflowPunct/>
              <w:topLinePunct w:val="0"/>
              <w:bidi w:val="0"/>
              <w:adjustRightInd w:val="0"/>
              <w:snapToGrid w:val="0"/>
              <w:spacing w:line="560" w:lineRule="exact"/>
              <w:jc w:val="center"/>
              <w:textAlignment w:val="auto"/>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IG</w:t>
            </w:r>
            <w:r>
              <w:rPr>
                <w:rFonts w:hint="eastAsia" w:ascii="Times New Roman" w:hAnsi="Times New Roman" w:eastAsia="仿宋_GB2312" w:cs="Times New Roman"/>
                <w:kern w:val="0"/>
                <w:sz w:val="28"/>
                <w:szCs w:val="28"/>
                <w:lang w:eastAsia="zh-CN"/>
              </w:rPr>
              <w:t>）</w:t>
            </w:r>
          </w:p>
        </w:tc>
        <w:tc>
          <w:tcPr>
            <w:tcW w:w="869" w:type="dxa"/>
            <w:vAlign w:val="center"/>
          </w:tcPr>
          <w:p w14:paraId="799E6BF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680" w:type="dxa"/>
            <w:vAlign w:val="center"/>
          </w:tcPr>
          <w:p w14:paraId="4EA3745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140" w:type="dxa"/>
            <w:vAlign w:val="center"/>
          </w:tcPr>
          <w:p w14:paraId="11D7C589">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510BC06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14:paraId="287EF03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5ACF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0C93794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0E9E34A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680" w:type="dxa"/>
            <w:vAlign w:val="center"/>
          </w:tcPr>
          <w:p w14:paraId="38B512B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140" w:type="dxa"/>
            <w:vAlign w:val="center"/>
          </w:tcPr>
          <w:p w14:paraId="2DF97DD9">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1D3CE12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14:paraId="77E3324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14:paraId="313A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091EDF9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01D5CD2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680" w:type="dxa"/>
            <w:vAlign w:val="center"/>
          </w:tcPr>
          <w:p w14:paraId="2EB39ED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140" w:type="dxa"/>
            <w:vAlign w:val="center"/>
          </w:tcPr>
          <w:p w14:paraId="621C7D8C">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67FA8069">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14:paraId="00498F0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r>
      <w:tr w14:paraId="28FB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4BD8D29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2EAF82C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680" w:type="dxa"/>
            <w:vAlign w:val="center"/>
          </w:tcPr>
          <w:p w14:paraId="6BBC5BEA">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140" w:type="dxa"/>
            <w:vAlign w:val="center"/>
          </w:tcPr>
          <w:p w14:paraId="181880B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6A4FE46B">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14:paraId="23C4CD4A">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14:paraId="736A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5E8AD3E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1FA1FE7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680" w:type="dxa"/>
            <w:vAlign w:val="center"/>
          </w:tcPr>
          <w:p w14:paraId="635015B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140" w:type="dxa"/>
            <w:vAlign w:val="center"/>
          </w:tcPr>
          <w:p w14:paraId="7298EEB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5D3AA3F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14:paraId="52D6BFBB">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r>
      <w:tr w14:paraId="45DF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14:paraId="129A578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14:paraId="4F5190F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14:paraId="6D02A6E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680" w:type="dxa"/>
            <w:vAlign w:val="center"/>
          </w:tcPr>
          <w:p w14:paraId="1259D9D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140" w:type="dxa"/>
            <w:vAlign w:val="center"/>
          </w:tcPr>
          <w:p w14:paraId="2A6ADC8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44818CC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14:paraId="3AA60E29">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53B9C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599B965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0296D7C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680" w:type="dxa"/>
            <w:vAlign w:val="center"/>
          </w:tcPr>
          <w:p w14:paraId="14BE4C2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140" w:type="dxa"/>
            <w:vAlign w:val="center"/>
          </w:tcPr>
          <w:p w14:paraId="6FAE2E2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1C9FE45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14:paraId="7AF397A7">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68535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1AC55759">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1CAC69BC">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680" w:type="dxa"/>
            <w:vAlign w:val="center"/>
          </w:tcPr>
          <w:p w14:paraId="649496D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140" w:type="dxa"/>
            <w:vAlign w:val="center"/>
          </w:tcPr>
          <w:p w14:paraId="4F2304E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14:paraId="582AD567">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14:paraId="574C344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14:paraId="5DBD0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3A244D9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0FF7136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680" w:type="dxa"/>
            <w:vAlign w:val="center"/>
          </w:tcPr>
          <w:p w14:paraId="600916E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140" w:type="dxa"/>
            <w:vAlign w:val="center"/>
          </w:tcPr>
          <w:p w14:paraId="79A467B7">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6B19CBF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14:paraId="37DB14C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r>
      <w:tr w14:paraId="4B51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14:paraId="01C34EF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14:paraId="1DC4962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14:paraId="416A4E2A">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680" w:type="dxa"/>
            <w:vAlign w:val="center"/>
          </w:tcPr>
          <w:p w14:paraId="67E627F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140" w:type="dxa"/>
            <w:vAlign w:val="center"/>
          </w:tcPr>
          <w:p w14:paraId="1886820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2364989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14:paraId="61719CC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3DAD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15FA333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53EC39E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680" w:type="dxa"/>
            <w:vAlign w:val="center"/>
          </w:tcPr>
          <w:p w14:paraId="747B9A2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140" w:type="dxa"/>
            <w:vAlign w:val="center"/>
          </w:tcPr>
          <w:p w14:paraId="2034373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181E080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14:paraId="557C310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6DCC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0DE9FBA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0665B61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680" w:type="dxa"/>
            <w:vAlign w:val="center"/>
          </w:tcPr>
          <w:p w14:paraId="7021CBB9">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140" w:type="dxa"/>
            <w:vAlign w:val="center"/>
          </w:tcPr>
          <w:p w14:paraId="11994CD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14:paraId="74BA0ED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14:paraId="012DA84D">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0FD02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17CEA11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41786F57">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680" w:type="dxa"/>
            <w:vAlign w:val="center"/>
          </w:tcPr>
          <w:p w14:paraId="4BC9B61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140" w:type="dxa"/>
            <w:vAlign w:val="center"/>
          </w:tcPr>
          <w:p w14:paraId="4969E62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734349F9">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14:paraId="6117C6EC">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3386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3E7EA3F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120B3E4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680" w:type="dxa"/>
            <w:vAlign w:val="center"/>
          </w:tcPr>
          <w:p w14:paraId="3EC1334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140" w:type="dxa"/>
            <w:vAlign w:val="center"/>
          </w:tcPr>
          <w:p w14:paraId="282743E7">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7C599B1D">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14:paraId="75B89849">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4DF1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5E92BA0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1EC8E93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680" w:type="dxa"/>
            <w:vAlign w:val="center"/>
          </w:tcPr>
          <w:p w14:paraId="32925EF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140" w:type="dxa"/>
            <w:vAlign w:val="center"/>
          </w:tcPr>
          <w:p w14:paraId="3260649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4AA1FA5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14:paraId="497854E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14:paraId="05F4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3CA5486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7FEF10AC">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680" w:type="dxa"/>
            <w:vAlign w:val="center"/>
          </w:tcPr>
          <w:p w14:paraId="2CCDDC9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道路遮荫比例</w:t>
            </w:r>
          </w:p>
        </w:tc>
        <w:tc>
          <w:tcPr>
            <w:tcW w:w="1140" w:type="dxa"/>
            <w:vAlign w:val="center"/>
          </w:tcPr>
          <w:p w14:paraId="333E58BA">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17B8C5F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14:paraId="37CAFA4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r>
      <w:tr w14:paraId="22FA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7D92AC0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5254187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680" w:type="dxa"/>
            <w:vAlign w:val="center"/>
          </w:tcPr>
          <w:p w14:paraId="762D6C4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露天停车场遮荫比例</w:t>
            </w:r>
          </w:p>
        </w:tc>
        <w:tc>
          <w:tcPr>
            <w:tcW w:w="1140" w:type="dxa"/>
            <w:vAlign w:val="center"/>
          </w:tcPr>
          <w:p w14:paraId="392C5A1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1649AC0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14:paraId="0308AEAF">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r>
      <w:tr w14:paraId="392E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restart"/>
            <w:vAlign w:val="center"/>
          </w:tcPr>
          <w:p w14:paraId="051E2D68">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14:paraId="6861B07B">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14:paraId="5FB8BD5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680" w:type="dxa"/>
            <w:vAlign w:val="center"/>
          </w:tcPr>
          <w:p w14:paraId="242F9DC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标准体系完善程度</w:t>
            </w:r>
          </w:p>
        </w:tc>
        <w:tc>
          <w:tcPr>
            <w:tcW w:w="1140" w:type="dxa"/>
            <w:vAlign w:val="center"/>
          </w:tcPr>
          <w:p w14:paraId="1CEA23A2">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1B72EC07">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14:paraId="49318D24">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49AB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041DE2E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16B754C7">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680" w:type="dxa"/>
            <w:vAlign w:val="center"/>
          </w:tcPr>
          <w:p w14:paraId="587CCE8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w:t>
            </w: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发展规划</w:t>
            </w:r>
          </w:p>
        </w:tc>
        <w:tc>
          <w:tcPr>
            <w:tcW w:w="1140" w:type="dxa"/>
            <w:vAlign w:val="center"/>
          </w:tcPr>
          <w:p w14:paraId="726652D3">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75EAD700">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14:paraId="166CA6EE">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14:paraId="46010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vMerge w:val="continue"/>
            <w:vAlign w:val="center"/>
          </w:tcPr>
          <w:p w14:paraId="09EA571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p>
        </w:tc>
        <w:tc>
          <w:tcPr>
            <w:tcW w:w="869" w:type="dxa"/>
            <w:vAlign w:val="center"/>
          </w:tcPr>
          <w:p w14:paraId="7DD2AC4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680" w:type="dxa"/>
            <w:vAlign w:val="center"/>
          </w:tcPr>
          <w:p w14:paraId="5923F531">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信息平台完善程度</w:t>
            </w:r>
          </w:p>
        </w:tc>
        <w:tc>
          <w:tcPr>
            <w:tcW w:w="1140" w:type="dxa"/>
            <w:vAlign w:val="center"/>
          </w:tcPr>
          <w:p w14:paraId="2C4E052B">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14:paraId="6E2363B6">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14:paraId="41896225">
            <w:pPr>
              <w:keepNext w:val="0"/>
              <w:keepLines w:val="0"/>
              <w:pageBreakBefore w:val="0"/>
              <w:kinsoku/>
              <w:wordWrap/>
              <w:overflowPunct/>
              <w:topLinePunct w:val="0"/>
              <w:bidi w:val="0"/>
              <w:adjustRightInd w:val="0"/>
              <w:snapToGrid w:val="0"/>
              <w:spacing w:line="560" w:lineRule="exact"/>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14:paraId="21665B9F">
      <w:pPr>
        <w:keepNext w:val="0"/>
        <w:keepLines w:val="0"/>
        <w:pageBreakBefore w:val="0"/>
        <w:kinsoku/>
        <w:wordWrap/>
        <w:overflowPunct/>
        <w:topLinePunct w:val="0"/>
        <w:bidi w:val="0"/>
        <w:spacing w:line="560" w:lineRule="exact"/>
        <w:ind w:firstLine="630"/>
        <w:textAlignment w:val="auto"/>
        <w:rPr>
          <w:rFonts w:hint="default" w:ascii="楷体" w:hAnsi="楷体" w:eastAsia="楷体" w:cs="楷体"/>
          <w:sz w:val="32"/>
          <w:szCs w:val="32"/>
        </w:rPr>
      </w:pPr>
      <w:r>
        <w:rPr>
          <w:rFonts w:hint="default" w:ascii="楷体" w:hAnsi="楷体" w:eastAsia="楷体" w:cs="楷体"/>
          <w:sz w:val="32"/>
          <w:szCs w:val="32"/>
        </w:rPr>
        <w:t>（三）评价方法</w:t>
      </w:r>
    </w:p>
    <w:p w14:paraId="1F7DBD94">
      <w:pPr>
        <w:keepNext w:val="0"/>
        <w:keepLines w:val="0"/>
        <w:pageBreakBefore w:val="0"/>
        <w:kinsoku/>
        <w:wordWrap/>
        <w:overflowPunct/>
        <w:topLinePunct w:val="0"/>
        <w:bidi w:val="0"/>
        <w:spacing w:line="560" w:lineRule="exact"/>
        <w:ind w:firstLine="630"/>
        <w:textAlignment w:val="auto"/>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14:paraId="330EEA14">
      <w:pPr>
        <w:pStyle w:val="7"/>
        <w:keepNext w:val="0"/>
        <w:keepLines w:val="0"/>
        <w:pageBreakBefore w:val="0"/>
        <w:widowControl/>
        <w:kinsoku/>
        <w:wordWrap/>
        <w:overflowPunct/>
        <w:topLinePunct w:val="0"/>
        <w:autoSpaceDE w:val="0"/>
        <w:autoSpaceDN w:val="0"/>
        <w:bidi w:val="0"/>
        <w:adjustRightInd/>
        <w:snapToGrid/>
        <w:spacing w:line="240" w:lineRule="auto"/>
        <w:ind w:firstLine="640"/>
        <w:textAlignment w:val="auto"/>
        <w:rPr>
          <w:rFonts w:hint="default" w:ascii="Times New Roman" w:hAnsi="Times New Roman" w:eastAsia="仿宋_GB2312" w:cs="Times New Roman"/>
          <w:sz w:val="32"/>
          <w:szCs w:val="32"/>
          <w:lang w:val="en-US"/>
        </w:rPr>
      </w:pPr>
      <w:r>
        <w:rPr>
          <w:rFonts w:hint="eastAsia" w:ascii="黑体" w:hAnsi="黑体" w:eastAsia="黑体" w:cs="黑体"/>
          <w:i w:val="0"/>
          <w:position w:val="-34"/>
          <w:sz w:val="32"/>
          <w:szCs w:val="32"/>
          <w:lang w:val="en-US" w:eastAsia="zh-CN" w:bidi="ar-SA"/>
        </w:rPr>
        <w:object>
          <v:shape id="_x0000_i1025" o:spt="75" alt="" type="#_x0000_t75" style="height:40pt;width:423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p w14:paraId="0EBE7FF1">
      <w:pPr>
        <w:pStyle w:val="7"/>
        <w:keepNext w:val="0"/>
        <w:keepLines w:val="0"/>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14:paraId="60DB69B7">
      <w:pPr>
        <w:pStyle w:val="7"/>
        <w:keepNext w:val="0"/>
        <w:keepLines w:val="0"/>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eastAsia" w:ascii="Times New Roman" w:eastAsia="仿宋_GB2312" w:cs="Times New Roman"/>
          <w:i/>
          <w:iCs/>
          <w:position w:val="-6"/>
          <w:sz w:val="32"/>
          <w:szCs w:val="32"/>
          <w:lang w:val="en-US" w:eastAsia="zh-CN"/>
        </w:rPr>
        <w:t>GI</w:t>
      </w:r>
      <w:r>
        <w:rPr>
          <w:rFonts w:hint="eastAsia" w:ascii="Times New Roman" w:eastAsia="仿宋_GB2312"/>
          <w:i w:val="0"/>
          <w:iCs w:val="0"/>
          <w:position w:val="-6"/>
          <w:sz w:val="32"/>
          <w:szCs w:val="32"/>
        </w:rPr>
        <w:t>为工业园区绿色指数</w:t>
      </w:r>
      <w:r>
        <w:rPr>
          <w:rFonts w:hint="eastAsia" w:ascii="Times New Roman" w:eastAsia="仿宋_GB2312"/>
          <w:i w:val="0"/>
          <w:iCs w:val="0"/>
          <w:position w:val="-6"/>
          <w:sz w:val="32"/>
          <w:szCs w:val="32"/>
          <w:lang w:eastAsia="zh-CN"/>
        </w:rPr>
        <w:t>；</w:t>
      </w:r>
    </w:p>
    <w:p w14:paraId="1716B82E">
      <w:pPr>
        <w:pStyle w:val="7"/>
        <w:keepNext w:val="0"/>
        <w:keepLines w:val="0"/>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26" o:spt="75" type="#_x0000_t75" style="height:18.35pt;width:21.7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7"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28" o:spt="75" type="#_x0000_t75" style="height:18.35pt;width:24.45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9"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29" DrawAspect="Content" ObjectID="_1468075729" r:id="rId12">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14:paraId="74694AE5">
      <w:pPr>
        <w:pStyle w:val="7"/>
        <w:keepNext w:val="0"/>
        <w:keepLines w:val="0"/>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0" o:spt="75" type="#_x0000_t75" style="height:18.35pt;width:21.75pt;" o:ole="t" filled="f" o:preferrelative="t" stroked="f" coordsize="21600,21600">
            <v:path/>
            <v:fill on="f" focussize="0,0"/>
            <v:stroke on="f" joinstyle="miter"/>
            <v:imagedata r:id="rId14" o:title=""/>
            <o:lock v:ext="edit" aspectratio="t"/>
            <w10:wrap type="none"/>
            <w10:anchorlock/>
          </v:shape>
          <o:OLEObject Type="Embed" ProgID="Equation.DSMT4" ShapeID="_x0000_i1030" DrawAspect="Content" ObjectID="_1468075730" r:id="rId1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1"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1" DrawAspect="Content" ObjectID="_1468075731" r:id="rId15">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2" o:spt="75" type="#_x0000_t75" style="height:18.35pt;width:24.45pt;" o:ole="t" filled="f" o:preferrelative="t" stroked="f" coordsize="21600,21600">
            <v:path/>
            <v:fill on="f" focussize="0,0"/>
            <v:stroke on="f" joinstyle="miter"/>
            <v:imagedata r:id="rId17" o:title=""/>
            <o:lock v:ext="edit" aspectratio="t"/>
            <w10:wrap type="none"/>
            <w10:anchorlock/>
          </v:shape>
          <o:OLEObject Type="Embed" ProgID="Equation.DSMT4" ShapeID="_x0000_i1032" DrawAspect="Content" ObjectID="_1468075732" r:id="rId1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3"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3" DrawAspect="Content" ObjectID="_1468075733" r:id="rId18">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14:paraId="5041B1DD">
      <w:pPr>
        <w:pStyle w:val="7"/>
        <w:keepNext w:val="0"/>
        <w:keepLines w:val="0"/>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4" o:spt="75" type="#_x0000_t75" style="height:18.35pt;width:19pt;" o:ole="t" filled="f" o:preferrelative="t" stroked="f" coordsize="21600,21600">
            <v:path/>
            <v:fill on="f" focussize="0,0"/>
            <v:stroke on="f" joinstyle="miter"/>
            <v:imagedata r:id="rId20" o:title=""/>
            <o:lock v:ext="edit" aspectratio="t"/>
            <w10:wrap type="none"/>
            <w10:anchorlock/>
          </v:shape>
          <o:OLEObject Type="Embed" ProgID="Equation.DSMT4" ShapeID="_x0000_i1034" DrawAspect="Content" ObjectID="_1468075734" r:id="rId1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5"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5" DrawAspect="Content" ObjectID="_1468075735" r:id="rId21">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6" o:spt="75" type="#_x0000_t75" style="height:18.35pt;width:21.75pt;" o:ole="t" filled="f" o:preferrelative="t" stroked="f" coordsize="21600,21600">
            <v:path/>
            <v:fill on="f" focussize="0,0"/>
            <v:stroke on="f" joinstyle="miter"/>
            <v:imagedata r:id="rId23" o:title=""/>
            <o:lock v:ext="edit" aspectratio="t"/>
            <w10:wrap type="none"/>
            <w10:anchorlock/>
          </v:shape>
          <o:OLEObject Type="Embed" ProgID="Equation.DSMT4" ShapeID="_x0000_i1036" DrawAspect="Content" ObjectID="_1468075736" r:id="rId2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7"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7" DrawAspect="Content" ObjectID="_1468075737" r:id="rId24">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14:paraId="2027FD31">
      <w:pPr>
        <w:pStyle w:val="7"/>
        <w:keepNext w:val="0"/>
        <w:keepLines w:val="0"/>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8" o:spt="75" type="#_x0000_t75" style="height:18.35pt;width:21.75pt;" o:ole="t" filled="f" o:preferrelative="t" stroked="f" coordsize="21600,21600">
            <v:path/>
            <v:fill on="f" focussize="0,0"/>
            <v:stroke on="f" joinstyle="miter"/>
            <v:imagedata r:id="rId26" o:title=""/>
            <o:lock v:ext="edit" aspectratio="t"/>
            <w10:wrap type="none"/>
            <w10:anchorlock/>
          </v:shape>
          <o:OLEObject Type="Embed" ProgID="Equation.DSMT4" ShapeID="_x0000_i1038" DrawAspect="Content" ObjectID="_1468075738" r:id="rId2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9"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9" DrawAspect="Content" ObjectID="_1468075739" r:id="rId27">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0" o:spt="75" type="#_x0000_t75" style="height:18.35pt;width:24.45pt;" o:ole="t" filled="f" o:preferrelative="t" stroked="f" coordsize="21600,21600">
            <v:path/>
            <v:fill on="f" focussize="0,0"/>
            <v:stroke on="f" joinstyle="miter"/>
            <v:imagedata r:id="rId29" o:title=""/>
            <o:lock v:ext="edit" aspectratio="t"/>
            <w10:wrap type="none"/>
            <w10:anchorlock/>
          </v:shape>
          <o:OLEObject Type="Embed" ProgID="Equation.DSMT4" ShapeID="_x0000_i1040" DrawAspect="Content" ObjectID="_1468075740" r:id="rId2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1"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1" DrawAspect="Content" ObjectID="_1468075741" r:id="rId30">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14:paraId="25325C9C">
      <w:pPr>
        <w:pStyle w:val="7"/>
        <w:keepNext w:val="0"/>
        <w:keepLines w:val="0"/>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2" o:spt="75" type="#_x0000_t75" style="height:18.35pt;width:23.1pt;" o:ole="t" filled="f" o:preferrelative="t" stroked="f" coordsize="21600,21600">
            <v:path/>
            <v:fill on="f" focussize="0,0"/>
            <v:stroke on="f" joinstyle="miter"/>
            <v:imagedata r:id="rId32" o:title=""/>
            <o:lock v:ext="edit" aspectratio="t"/>
            <w10:wrap type="none"/>
            <w10:anchorlock/>
          </v:shape>
          <o:OLEObject Type="Embed" ProgID="Equation.DSMT4" ShapeID="_x0000_i1042" DrawAspect="Content" ObjectID="_1468075742" r:id="rId3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3"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3" DrawAspect="Content" ObjectID="_1468075743" r:id="rId33">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44" o:spt="75" type="#_x0000_t75" style="height:18.35pt;width:27.15pt;" o:ole="t" filled="f" o:preferrelative="t" stroked="f" coordsize="21600,21600">
            <v:path/>
            <v:fill on="f" focussize="0,0"/>
            <v:stroke on="f" joinstyle="miter"/>
            <v:imagedata r:id="rId35" o:title=""/>
            <o:lock v:ext="edit" aspectratio="t"/>
            <w10:wrap type="none"/>
            <w10:anchorlock/>
          </v:shape>
          <o:OLEObject Type="Embed" ProgID="Equation.DSMT4" ShapeID="_x0000_i1044" DrawAspect="Content" ObjectID="_1468075744" r:id="rId3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5"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5" DrawAspect="Content" ObjectID="_1468075745" r:id="rId36">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14:paraId="2C3967A8">
      <w:pPr>
        <w:pStyle w:val="7"/>
        <w:keepNext w:val="0"/>
        <w:keepLines w:val="0"/>
        <w:pageBreakBefore w:val="0"/>
        <w:kinsoku/>
        <w:wordWrap/>
        <w:overflowPunct/>
        <w:topLinePunct w:val="0"/>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6" o:spt="75" type="#_x0000_t75" style="height:18.35pt;width:23.75pt;" o:ole="t" filled="f" o:preferrelative="t" stroked="f" coordsize="21600,21600">
            <v:path/>
            <v:fill on="f" focussize="0,0"/>
            <v:stroke on="f" joinstyle="miter"/>
            <v:imagedata r:id="rId38" o:title=""/>
            <o:lock v:ext="edit" aspectratio="t"/>
            <w10:wrap type="none"/>
            <w10:anchorlock/>
          </v:shape>
          <o:OLEObject Type="Embed" ProgID="Equation.DSMT4" ShapeID="_x0000_i1046" DrawAspect="Content" ObjectID="_1468075746" r:id="rId3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7"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7" DrawAspect="Content" ObjectID="_1468075747" r:id="rId39">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8" o:spt="75" type="#_x0000_t75" style="height:18.35pt;width:27.85pt;" o:ole="t" filled="f" o:preferrelative="t" stroked="f" coordsize="21600,21600">
            <v:path/>
            <v:fill on="f" focussize="0,0"/>
            <v:stroke on="f" joinstyle="miter"/>
            <v:imagedata r:id="rId41" o:title=""/>
            <o:lock v:ext="edit" aspectratio="t"/>
            <w10:wrap type="none"/>
            <w10:anchorlock/>
          </v:shape>
          <o:OLEObject Type="Embed" ProgID="Equation.DSMT4" ShapeID="_x0000_i1048" DrawAspect="Content" ObjectID="_1468075748" r:id="rId4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9"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9" DrawAspect="Content" ObjectID="_1468075749" r:id="rId42">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14:paraId="67E48D06">
      <w:pPr>
        <w:pStyle w:val="7"/>
        <w:keepNext w:val="0"/>
        <w:keepLines w:val="0"/>
        <w:pageBreakBefore w:val="0"/>
        <w:kinsoku/>
        <w:wordWrap/>
        <w:overflowPunct/>
        <w:topLinePunct w:val="0"/>
        <w:bidi w:val="0"/>
        <w:adjustRightInd/>
        <w:snapToGrid/>
        <w:spacing w:line="560" w:lineRule="exact"/>
        <w:ind w:firstLine="480"/>
        <w:textAlignment w:val="auto"/>
        <w:rPr>
          <w:rFonts w:hint="eastAsia" w:ascii="仿宋" w:hAnsi="仿宋" w:eastAsia="仿宋" w:cs="仿宋"/>
          <w:sz w:val="24"/>
          <w:szCs w:val="24"/>
        </w:rPr>
      </w:pPr>
      <w:r>
        <w:rPr>
          <w:rFonts w:hint="eastAsia" w:ascii="仿宋" w:hAnsi="仿宋" w:eastAsia="仿宋" w:cs="仿宋"/>
          <w:sz w:val="24"/>
          <w:szCs w:val="24"/>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14:paraId="639EE41C">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14:paraId="53380E7B">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能源利用绿色化指标包括能源产出率和可再生能源使用比例、清洁能源使用率3个必选指标。</w:t>
      </w:r>
    </w:p>
    <w:p w14:paraId="74A20313">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（一）能源产出率（必选）</w:t>
      </w:r>
    </w:p>
    <w:p w14:paraId="0ACD126E">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指标解释：指报告期内园区工业增加值与能源消耗总量的比值，该项指标越大，表明能源产出效率越高。能源主要包括</w:t>
      </w:r>
      <w:r>
        <w:rPr>
          <w:rFonts w:hint="default" w:ascii="Times New Roman" w:hAnsi="Times New Roman" w:eastAsia="仿宋_GB2312" w:cs="Times New Roman"/>
          <w:kern w:val="0"/>
          <w:sz w:val="32"/>
          <w:szCs w:val="32"/>
          <w:lang w:val="en-US" w:eastAsia="zh-CN" w:bidi="ar-SA"/>
        </w:rPr>
        <w:t>原煤、原油、天然气、核电、水电、风电等一次能源。工业增加值采用2010年不变价，下同。</w:t>
      </w:r>
    </w:p>
    <w:p w14:paraId="39DD6837">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计算公式：能源产出率=园区工业增加值（万元不变价）/能源综合消耗总量（tce）。</w:t>
      </w:r>
    </w:p>
    <w:p w14:paraId="64F46A46">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（二）可再生能源使用比例（必选）</w:t>
      </w:r>
    </w:p>
    <w:p w14:paraId="048ABBF8">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指标解释：园区内工业企业的可再生能源使用量与综合能耗总量的比值。可再生能源包括太阳能、水能、生物质能、地热能、氢能、波浪能等非化石能源。</w:t>
      </w:r>
    </w:p>
    <w:p w14:paraId="077E7128">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计算公式：可再生能源使用比例（%）=工业企业可再生能源使用量（tce）/工业企业综合能耗总量（tce）x100%。</w:t>
      </w:r>
    </w:p>
    <w:p w14:paraId="03B03E2E">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（三）清洁能源使用率（必选）</w:t>
      </w:r>
    </w:p>
    <w:p w14:paraId="66378F4B">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指标解释：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14:paraId="3CCA82F9">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kern w:val="0"/>
          <w:sz w:val="32"/>
          <w:szCs w:val="32"/>
          <w:lang w:val="en-US" w:eastAsia="zh-CN" w:bidi="ar-SA"/>
        </w:rPr>
        <w:t>计算公式：清洁能源使用率（%）=清洁能源使用量（tce）/终端能源消费总量（tce）×100%。</w:t>
      </w:r>
    </w:p>
    <w:p w14:paraId="778C94D8">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14:paraId="1E8643EC">
      <w:pPr>
        <w:keepNext w:val="0"/>
        <w:keepLines w:val="0"/>
        <w:pageBreakBefore w:val="0"/>
        <w:kinsoku/>
        <w:wordWrap/>
        <w:overflowPunct/>
        <w:topLinePunct w:val="0"/>
        <w:bidi w:val="0"/>
        <w:adjustRightInd/>
        <w:snapToGrid/>
        <w:spacing w:line="560" w:lineRule="exact"/>
        <w:ind w:firstLine="630"/>
        <w:textAlignment w:val="auto"/>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资</w:t>
      </w:r>
      <w:r>
        <w:rPr>
          <w:rFonts w:hint="default" w:ascii="Times New Roman" w:hAnsi="Times New Roman" w:eastAsia="仿宋_GB2312" w:cs="Times New Roman"/>
          <w:kern w:val="0"/>
          <w:sz w:val="32"/>
          <w:szCs w:val="32"/>
          <w:lang w:val="en-US" w:eastAsia="zh-CN" w:bidi="ar-SA"/>
        </w:rPr>
        <w:t>源利用绿色化指标包括水资源产出率、土地资源产出率、工业固体废弃物综合利用率、工业用水重复利用率4个必选指标，以及从中水回用率、余热资源回收利用率、废气资源回收利用率、再生资源回收利用率4个可选指标中选取的</w:t>
      </w:r>
      <w:r>
        <w:rPr>
          <w:rFonts w:hint="eastAsia" w:ascii="Times New Roman" w:hAnsi="Times New Roman" w:eastAsia="仿宋_GB2312" w:cs="Times New Roman"/>
          <w:kern w:val="0"/>
          <w:sz w:val="32"/>
          <w:szCs w:val="32"/>
          <w:lang w:val="en-US" w:eastAsia="zh-CN" w:bidi="ar-SA"/>
        </w:rPr>
        <w:t>2</w:t>
      </w:r>
      <w:r>
        <w:rPr>
          <w:rFonts w:hint="default" w:ascii="Times New Roman" w:hAnsi="Times New Roman" w:eastAsia="仿宋_GB2312" w:cs="Times New Roman"/>
          <w:kern w:val="0"/>
          <w:sz w:val="32"/>
          <w:szCs w:val="32"/>
          <w:lang w:val="en-US" w:eastAsia="zh-CN" w:bidi="ar-SA"/>
        </w:rPr>
        <w:t>个指标。</w:t>
      </w:r>
    </w:p>
    <w:p w14:paraId="21A3CE3D">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（一）水资源产出率（必选）</w:t>
      </w:r>
    </w:p>
    <w:p w14:paraId="526C907C">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指标解释：指报告期内园区消耗单位新鲜水量所创造的工业增加值。工业用新鲜水量：指报告期内企业厂区内用于生产和生活的新鲜水量</w:t>
      </w:r>
      <w:r>
        <w:rPr>
          <w:rFonts w:hint="default" w:ascii="Times New Roman" w:hAnsi="Times New Roman" w:eastAsia="仿宋_GB2312" w:cs="Times New Roman"/>
          <w:kern w:val="0"/>
          <w:sz w:val="32"/>
          <w:szCs w:val="32"/>
          <w:lang w:val="en-US" w:eastAsia="zh-CN" w:bidi="ar-SA"/>
        </w:rPr>
        <w:t>（生活用水单独计量且生活污水不与工业废水混排的除外），它等于企业从城市自来水取用的水量和企业自备水用量之和。</w:t>
      </w:r>
    </w:p>
    <w:p w14:paraId="0A3DFF94">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kern w:val="0"/>
          <w:sz w:val="32"/>
          <w:szCs w:val="32"/>
          <w:lang w:val="en-US" w:eastAsia="zh-CN" w:bidi="ar-SA"/>
        </w:rPr>
        <w:t>计算公式：水资源产出率= 园区工业增加值（万元不变价）/园区工业用新鲜水量</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w:t>
      </w:r>
      <w:r>
        <w:rPr>
          <w:rFonts w:hint="default" w:ascii="Times New Roman" w:hAnsi="Times New Roman" w:eastAsia="仿宋_GB2312" w:cs="Times New Roman"/>
          <w:kern w:val="0"/>
          <w:sz w:val="32"/>
          <w:szCs w:val="32"/>
          <w:lang w:val="en-US" w:eastAsia="zh-CN" w:bidi="ar-SA"/>
        </w:rPr>
        <w:t>。</w:t>
      </w:r>
    </w:p>
    <w:p w14:paraId="029E3DE8">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（二）土地资源产出率（必选）</w:t>
      </w:r>
    </w:p>
    <w:p w14:paraId="0A8A949F">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指标解释：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14:paraId="1163CA0C">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kern w:val="0"/>
          <w:sz w:val="32"/>
          <w:szCs w:val="32"/>
          <w:lang w:val="en-US" w:eastAsia="zh-CN" w:bidi="ar-SA"/>
        </w:rPr>
        <w:t>计算公式：土地产出率=园区工业增加值（万元不变价）/园区工业用地面积</w:t>
      </w:r>
      <w:r>
        <w:rPr>
          <w:rFonts w:hint="default" w:ascii="Times New Roman" w:hAnsi="Times New Roman" w:eastAsia="仿宋" w:cs="Times New Roman"/>
          <w:sz w:val="32"/>
          <w:szCs w:val="32"/>
        </w:rPr>
        <w:t>（km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r>
        <w:rPr>
          <w:rFonts w:hint="default" w:ascii="Times New Roman" w:hAnsi="Times New Roman" w:eastAsia="仿宋_GB2312" w:cs="Times New Roman"/>
          <w:kern w:val="0"/>
          <w:sz w:val="32"/>
          <w:szCs w:val="32"/>
          <w:lang w:val="en-US" w:eastAsia="zh-CN" w:bidi="ar-SA"/>
        </w:rPr>
        <w:t>。</w:t>
      </w:r>
    </w:p>
    <w:p w14:paraId="2D5457A2">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（三）工业固体废弃物综合利用率（必选）</w:t>
      </w:r>
    </w:p>
    <w:p w14:paraId="77A06ACE">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指标解释：指工业固体废物综合利用量占工业固体废物产生量（包括综合利用往年贮存量）的百分率。工业固体废物综合利用量指报告期内企业通过回收、加工、循环、交换等方式，从固体废物中提取或者使其转化为可以利用的资源、能源和其他原材料的固体废物量（包括当年利用往年的工业固体废物贮存量），如用作农业肥料、生产建筑材料、筑路等。综合利用量由原产生固体废物的单位统计。</w:t>
      </w:r>
    </w:p>
    <w:p w14:paraId="273F0889">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计算公式：工业固体废弃物综合利用率=工业固体废弃物综合利用量（t）/（工业固体废弃物产生量+综合利用往年贮存量(t)）×100%。</w:t>
      </w:r>
    </w:p>
    <w:p w14:paraId="48368461">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（四）工业用水重复利用率（必选）</w:t>
      </w:r>
    </w:p>
    <w:p w14:paraId="053BC05A">
      <w:pPr>
        <w:keepNext w:val="0"/>
        <w:keepLines w:val="0"/>
        <w:pageBreakBefore w:val="0"/>
        <w:kinsoku/>
        <w:wordWrap/>
        <w:overflowPunct/>
        <w:topLinePunct w:val="0"/>
        <w:bidi w:val="0"/>
        <w:adjustRightInd/>
        <w:snapToGrid/>
        <w:spacing w:line="560" w:lineRule="exact"/>
        <w:ind w:firstLine="63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指工业重复用水量占工业用水总量的百分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14:paraId="00E97AC1">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计算公式：工业用水重复利用率=工业重复用水量（m3）/工业用水总量</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w:t>
      </w:r>
      <w:r>
        <w:rPr>
          <w:rFonts w:hint="default" w:ascii="Times New Roman" w:hAnsi="Times New Roman" w:eastAsia="仿宋_GB2312" w:cs="Times New Roman"/>
          <w:kern w:val="0"/>
          <w:sz w:val="32"/>
          <w:szCs w:val="32"/>
          <w:lang w:val="en-US" w:eastAsia="zh-CN" w:bidi="ar-SA"/>
        </w:rPr>
        <w:t>×100%。</w:t>
      </w:r>
    </w:p>
    <w:p w14:paraId="553E8723">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（五）中水回用率（可选）</w:t>
      </w:r>
    </w:p>
    <w:p w14:paraId="45E46108">
      <w:pPr>
        <w:keepNext w:val="0"/>
        <w:keepLines w:val="0"/>
        <w:pageBreakBefore w:val="0"/>
        <w:kinsoku/>
        <w:wordWrap/>
        <w:overflowPunct/>
        <w:topLinePunct w:val="0"/>
        <w:bidi w:val="0"/>
        <w:adjustRightInd/>
        <w:snapToGrid/>
        <w:spacing w:line="560" w:lineRule="exact"/>
        <w:ind w:firstLine="63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指标解释：指园区内再生水的回用量与污水处理厂处理量的比值。其中，再生水（中水）是指二级达标水经再生工艺净化处理后，达到</w:t>
      </w:r>
      <w:r>
        <w:rPr>
          <w:rStyle w:val="8"/>
          <w:rFonts w:hint="default" w:ascii="仿宋_GB2312" w:hAnsi="仿宋_GB2312" w:eastAsia="仿宋_GB2312" w:cs="仿宋_GB2312"/>
          <w:b w:val="0"/>
          <w:bCs w:val="0"/>
          <w:color w:val="auto"/>
          <w:kern w:val="2"/>
          <w:sz w:val="32"/>
          <w:szCs w:val="32"/>
          <w:highlight w:val="none"/>
          <w:u w:val="none"/>
          <w:lang w:val="en-US" w:eastAsia="zh-CN"/>
        </w:rPr>
        <w:t>中水水质指标要求，满足某种使用要求的水。</w:t>
      </w:r>
    </w:p>
    <w:p w14:paraId="081B4AE4">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计算公式：中水回用率（%）=园区再生水（中水）回用量（万吨）/园区污水处理厂处理量（万吨）×100%。</w:t>
      </w:r>
    </w:p>
    <w:p w14:paraId="3DAF0972">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（六）余热资源回收利用率（可选）</w:t>
      </w:r>
    </w:p>
    <w:p w14:paraId="7F5EA286">
      <w:pPr>
        <w:keepNext w:val="0"/>
        <w:keepLines w:val="0"/>
        <w:pageBreakBefore w:val="0"/>
        <w:kinsoku/>
        <w:wordWrap/>
        <w:overflowPunct/>
        <w:topLinePunct w:val="0"/>
        <w:bidi w:val="0"/>
        <w:adjustRightInd/>
        <w:snapToGrid/>
        <w:spacing w:line="560" w:lineRule="exact"/>
        <w:ind w:firstLine="63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指标解释：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w:t>
      </w:r>
      <w:r>
        <w:rPr>
          <w:rStyle w:val="8"/>
          <w:rFonts w:hint="default" w:ascii="仿宋_GB2312" w:hAnsi="仿宋_GB2312" w:eastAsia="仿宋_GB2312" w:cs="仿宋_GB2312"/>
          <w:b w:val="0"/>
          <w:bCs w:val="0"/>
          <w:color w:val="auto"/>
          <w:kern w:val="2"/>
          <w:sz w:val="32"/>
          <w:szCs w:val="32"/>
          <w:highlight w:val="none"/>
          <w:u w:val="none"/>
          <w:lang w:val="en-US" w:eastAsia="zh-CN"/>
        </w:rPr>
        <w:t>的过程。园区余热资源量按照GB/T 1028计算。</w:t>
      </w:r>
    </w:p>
    <w:p w14:paraId="4A353EF9">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计算公式：余热资源回收利用率（%）=回收利用的余热资源量（kJ）/园区总余热资源量（kJ）×100%。</w:t>
      </w:r>
    </w:p>
    <w:p w14:paraId="33137C3D">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（七）废气资源回收利用率（可选）</w:t>
      </w:r>
    </w:p>
    <w:p w14:paraId="1CCE9210">
      <w:pPr>
        <w:keepNext w:val="0"/>
        <w:keepLines w:val="0"/>
        <w:pageBreakBefore w:val="0"/>
        <w:kinsoku/>
        <w:wordWrap/>
        <w:overflowPunct/>
        <w:topLinePunct w:val="0"/>
        <w:bidi w:val="0"/>
        <w:adjustRightInd/>
        <w:snapToGrid/>
        <w:spacing w:line="560" w:lineRule="exact"/>
        <w:ind w:firstLine="630"/>
        <w:textAlignment w:val="auto"/>
        <w:rPr>
          <w:rStyle w:val="8"/>
          <w:rFonts w:hint="eastAsia"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指标解释：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14:paraId="18212889">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仿宋_GB2312" w:cs="Times New Roman"/>
          <w:sz w:val="32"/>
          <w:szCs w:val="32"/>
        </w:rPr>
      </w:pPr>
      <w:r>
        <w:rPr>
          <w:rStyle w:val="8"/>
          <w:rFonts w:hint="eastAsia" w:ascii="仿宋_GB2312" w:hAnsi="仿宋_GB2312" w:eastAsia="仿宋_GB2312" w:cs="仿宋_GB2312"/>
          <w:b w:val="0"/>
          <w:bCs w:val="0"/>
          <w:color w:val="auto"/>
          <w:kern w:val="2"/>
          <w:sz w:val="32"/>
          <w:szCs w:val="32"/>
          <w:highlight w:val="none"/>
          <w:u w:val="none"/>
          <w:lang w:val="en-US" w:eastAsia="zh-CN"/>
        </w:rPr>
        <w:t>计算公式：废气资源回收利用率（%）=回收利用的废气资</w:t>
      </w:r>
      <w:r>
        <w:rPr>
          <w:rStyle w:val="8"/>
          <w:rFonts w:hint="default" w:ascii="仿宋_GB2312" w:hAnsi="仿宋_GB2312" w:eastAsia="仿宋_GB2312" w:cs="仿宋_GB2312"/>
          <w:b w:val="0"/>
          <w:bCs w:val="0"/>
          <w:color w:val="auto"/>
          <w:kern w:val="2"/>
          <w:sz w:val="32"/>
          <w:szCs w:val="32"/>
          <w:highlight w:val="none"/>
          <w:u w:val="none"/>
          <w:lang w:val="en-US" w:eastAsia="zh-CN"/>
        </w:rPr>
        <w:t>源量（万</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3</w:t>
      </w:r>
      <w:r>
        <w:rPr>
          <w:rStyle w:val="8"/>
          <w:rFonts w:hint="default" w:ascii="仿宋_GB2312" w:hAnsi="仿宋_GB2312" w:eastAsia="仿宋_GB2312" w:cs="仿宋_GB2312"/>
          <w:b w:val="0"/>
          <w:bCs w:val="0"/>
          <w:color w:val="auto"/>
          <w:kern w:val="2"/>
          <w:sz w:val="32"/>
          <w:szCs w:val="32"/>
          <w:highlight w:val="none"/>
          <w:u w:val="none"/>
          <w:lang w:val="en-US" w:eastAsia="zh-CN"/>
        </w:rPr>
        <w:t>）/园区可回收利用总废气资源量（万</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3</w:t>
      </w:r>
      <w:r>
        <w:rPr>
          <w:rStyle w:val="8"/>
          <w:rFonts w:hint="default" w:ascii="仿宋_GB2312" w:hAnsi="仿宋_GB2312" w:eastAsia="仿宋_GB2312" w:cs="仿宋_GB2312"/>
          <w:b w:val="0"/>
          <w:bCs w:val="0"/>
          <w:color w:val="auto"/>
          <w:kern w:val="2"/>
          <w:sz w:val="32"/>
          <w:szCs w:val="32"/>
          <w:highlight w:val="none"/>
          <w:u w:val="none"/>
          <w:lang w:val="en-US" w:eastAsia="zh-CN"/>
        </w:rPr>
        <w:t>）×100%。</w:t>
      </w:r>
    </w:p>
    <w:p w14:paraId="4C0436C4">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（八）再生资源回收利用率（可选）</w:t>
      </w:r>
    </w:p>
    <w:p w14:paraId="2C9F874B">
      <w:pPr>
        <w:keepNext w:val="0"/>
        <w:keepLines w:val="0"/>
        <w:pageBreakBefore w:val="0"/>
        <w:kinsoku/>
        <w:wordWrap/>
        <w:overflowPunct/>
        <w:topLinePunct w:val="0"/>
        <w:bidi w:val="0"/>
        <w:adjustRightInd/>
        <w:snapToGrid/>
        <w:spacing w:line="560" w:lineRule="exact"/>
        <w:ind w:firstLine="630"/>
        <w:textAlignment w:val="auto"/>
        <w:rPr>
          <w:rStyle w:val="8"/>
          <w:rFonts w:hint="eastAsia"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指标解释：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14:paraId="017D570C">
      <w:pPr>
        <w:keepNext w:val="0"/>
        <w:keepLines w:val="0"/>
        <w:pageBreakBefore w:val="0"/>
        <w:kinsoku/>
        <w:wordWrap/>
        <w:overflowPunct/>
        <w:topLinePunct w:val="0"/>
        <w:bidi w:val="0"/>
        <w:adjustRightInd/>
        <w:snapToGrid/>
        <w:spacing w:line="560" w:lineRule="exact"/>
        <w:ind w:firstLine="630"/>
        <w:textAlignment w:val="auto"/>
        <w:rPr>
          <w:rStyle w:val="8"/>
          <w:rFonts w:hint="eastAsia"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计算公式：再生资源回收利用</w:t>
      </w:r>
      <w:r>
        <w:rPr>
          <w:rStyle w:val="8"/>
          <w:rFonts w:hint="default" w:ascii="仿宋_GB2312" w:hAnsi="仿宋_GB2312" w:eastAsia="仿宋_GB2312" w:cs="仿宋_GB2312"/>
          <w:b w:val="0"/>
          <w:bCs w:val="0"/>
          <w:color w:val="auto"/>
          <w:kern w:val="2"/>
          <w:sz w:val="32"/>
          <w:szCs w:val="32"/>
          <w:highlight w:val="none"/>
          <w:u w:val="none"/>
          <w:lang w:val="en-US" w:eastAsia="zh-CN"/>
        </w:rPr>
        <w:t>率（%）=再生资源循环利用量（万吨）/再生资源收集量（万吨）×100%。</w:t>
      </w:r>
    </w:p>
    <w:p w14:paraId="1E20599D">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14:paraId="24942A6F">
      <w:pPr>
        <w:keepNext w:val="0"/>
        <w:keepLines w:val="0"/>
        <w:pageBreakBefore w:val="0"/>
        <w:kinsoku/>
        <w:wordWrap/>
        <w:overflowPunct/>
        <w:topLinePunct w:val="0"/>
        <w:bidi w:val="0"/>
        <w:adjustRightInd/>
        <w:snapToGrid/>
        <w:spacing w:line="560" w:lineRule="exact"/>
        <w:ind w:firstLine="63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基础设施绿色化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14:paraId="5B66E478">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（一）污水集中处理设施（必选）</w:t>
      </w:r>
    </w:p>
    <w:p w14:paraId="0CD5EA26">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指标解释：园区内所有工业废水经预处理达到集中处理要求后进入安装有自动在线监控装置的污水集中处理设施（园区内或园区外）。</w:t>
      </w:r>
    </w:p>
    <w:p w14:paraId="56BAE381">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（二）新建工业建筑中绿色建筑的比例（可选）</w:t>
      </w:r>
    </w:p>
    <w:p w14:paraId="1DE0631E">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指标解释：园区新建工业建筑中的绿色建筑是按照GB/T 50878-2013《绿色工业建筑评价标准》评价，获得二星及以上评级的工业建筑。</w:t>
      </w:r>
    </w:p>
    <w:p w14:paraId="199C43B0">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计算公式：新建工业建筑中绿色建筑的比例（%）=新建工业建筑中绿色建筑的面积（</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Style w:val="8"/>
          <w:rFonts w:hint="default" w:ascii="仿宋_GB2312" w:hAnsi="仿宋_GB2312" w:eastAsia="仿宋_GB2312" w:cs="仿宋_GB2312"/>
          <w:b w:val="0"/>
          <w:bCs w:val="0"/>
          <w:color w:val="auto"/>
          <w:kern w:val="2"/>
          <w:sz w:val="32"/>
          <w:szCs w:val="32"/>
          <w:highlight w:val="none"/>
          <w:u w:val="none"/>
          <w:lang w:val="en-US" w:eastAsia="zh-CN"/>
        </w:rPr>
        <w:t>）/园区新建工业建筑面积</w:t>
      </w:r>
    </w:p>
    <w:p w14:paraId="5893D4FB">
      <w:pPr>
        <w:keepNext w:val="0"/>
        <w:keepLines w:val="0"/>
        <w:pageBreakBefore w:val="0"/>
        <w:kinsoku/>
        <w:wordWrap/>
        <w:overflowPunct/>
        <w:topLinePunct w:val="0"/>
        <w:bidi w:val="0"/>
        <w:adjustRightInd/>
        <w:snapToGrid/>
        <w:spacing w:line="560" w:lineRule="exact"/>
        <w:textAlignment w:val="auto"/>
        <w:rPr>
          <w:rFonts w:hint="default" w:ascii="Times New Roman" w:hAnsi="Times New Roman" w:eastAsia="仿宋"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Style w:val="8"/>
          <w:rFonts w:hint="default" w:ascii="仿宋_GB2312" w:hAnsi="仿宋_GB2312" w:eastAsia="仿宋_GB2312" w:cs="仿宋_GB2312"/>
          <w:b w:val="0"/>
          <w:bCs w:val="0"/>
          <w:color w:val="auto"/>
          <w:kern w:val="2"/>
          <w:sz w:val="32"/>
          <w:szCs w:val="32"/>
          <w:highlight w:val="none"/>
          <w:u w:val="none"/>
          <w:lang w:val="en-US" w:eastAsia="zh-CN"/>
        </w:rPr>
        <w:t>）×100%。</w:t>
      </w:r>
    </w:p>
    <w:p w14:paraId="40319E99">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楷体" w:cs="Times New Roman"/>
          <w:sz w:val="32"/>
          <w:szCs w:val="32"/>
        </w:rPr>
      </w:pPr>
      <w:r>
        <w:rPr>
          <w:rFonts w:hint="default" w:ascii="楷体_GB2312" w:hAnsi="楷体_GB2312" w:eastAsia="楷体_GB2312" w:cs="楷体_GB2312"/>
          <w:kern w:val="0"/>
          <w:sz w:val="32"/>
          <w:szCs w:val="32"/>
          <w:lang w:val="en-US" w:eastAsia="zh-CN" w:bidi="ar-SA"/>
        </w:rPr>
        <w:t>（三）新建公共建筑中绿色建筑的比例（可选</w:t>
      </w:r>
      <w:r>
        <w:rPr>
          <w:rFonts w:hint="default" w:ascii="Times New Roman" w:hAnsi="Times New Roman" w:eastAsia="楷体" w:cs="Times New Roman"/>
          <w:sz w:val="32"/>
          <w:szCs w:val="32"/>
        </w:rPr>
        <w:t>）</w:t>
      </w:r>
    </w:p>
    <w:p w14:paraId="22678D97">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指标解释：园区新建公共建筑中的绿色建筑是按照GB/T 50378-2014《绿色建筑评价标准》评价，获得二星及以上评级的公共建筑。</w:t>
      </w:r>
    </w:p>
    <w:p w14:paraId="727675C0">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计算公式：新建公共建筑中绿色建筑的比例（%）=新建公共建筑中绿色建筑的面积（</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Style w:val="8"/>
          <w:rFonts w:hint="default" w:ascii="仿宋_GB2312" w:hAnsi="仿宋_GB2312" w:eastAsia="仿宋_GB2312" w:cs="仿宋_GB2312"/>
          <w:b w:val="0"/>
          <w:bCs w:val="0"/>
          <w:color w:val="auto"/>
          <w:kern w:val="2"/>
          <w:sz w:val="32"/>
          <w:szCs w:val="32"/>
          <w:highlight w:val="none"/>
          <w:u w:val="none"/>
          <w:lang w:val="en-US" w:eastAsia="zh-CN"/>
        </w:rPr>
        <w:t>）/园区新建公共建筑面积（</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Style w:val="8"/>
          <w:rFonts w:hint="default" w:ascii="仿宋_GB2312" w:hAnsi="仿宋_GB2312" w:eastAsia="仿宋_GB2312" w:cs="仿宋_GB2312"/>
          <w:b w:val="0"/>
          <w:bCs w:val="0"/>
          <w:color w:val="auto"/>
          <w:kern w:val="2"/>
          <w:sz w:val="32"/>
          <w:szCs w:val="32"/>
          <w:highlight w:val="none"/>
          <w:u w:val="none"/>
          <w:lang w:val="en-US" w:eastAsia="zh-CN"/>
        </w:rPr>
        <w:t>）×100%。</w:t>
      </w:r>
    </w:p>
    <w:p w14:paraId="0D496009">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（四）500米公交站点覆盖率（可选）</w:t>
      </w:r>
    </w:p>
    <w:p w14:paraId="2BF38709">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指标解释：园区公共交通车站服务覆盖面积的总和占园区建成区面积的百分比。</w:t>
      </w:r>
    </w:p>
    <w:p w14:paraId="76F62B89">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计算公式：具体根据GB 50220计算。</w:t>
      </w:r>
    </w:p>
    <w:p w14:paraId="054CADFC">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（五）节能与新能源公交车比例（可选）</w:t>
      </w:r>
    </w:p>
    <w:p w14:paraId="0C2AC48C">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14:paraId="2691F001">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计算公式：节能与新能源公交车比例（%）=节能与新能源公交车数量（辆）/园区公交车总量（辆）×100%。</w:t>
      </w:r>
    </w:p>
    <w:p w14:paraId="2495E6CA">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14:paraId="47345150">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产业绿色化指标包括高新技术产业产值占园区工业总产值比例、绿色产业增加值占园区工业增加值比例2个必选指标，以及从人均工业增加值和现代服务业比例两个可选指标中选取1个指标。</w:t>
      </w:r>
    </w:p>
    <w:p w14:paraId="3C99529C">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（一）绿色产业增加值占园区工业增加值比例（必选）</w:t>
      </w:r>
    </w:p>
    <w:p w14:paraId="6CAC2175">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eastAsia"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指标解释：园区内绿色产业的增加值与园区工业增加值的比值。其中，绿色产业增加值是依据国家统计局《战略性新兴产业分类》中关于节能环保产业和新能源产业的具体分类统计得到。</w:t>
      </w:r>
    </w:p>
    <w:p w14:paraId="28AE1927">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计算公式：绿色产业增加值占园区工业增加值</w:t>
      </w:r>
      <w:r>
        <w:rPr>
          <w:rStyle w:val="8"/>
          <w:rFonts w:hint="default" w:ascii="仿宋_GB2312" w:hAnsi="仿宋_GB2312" w:eastAsia="仿宋_GB2312" w:cs="仿宋_GB2312"/>
          <w:b w:val="0"/>
          <w:bCs w:val="0"/>
          <w:color w:val="auto"/>
          <w:kern w:val="2"/>
          <w:sz w:val="32"/>
          <w:szCs w:val="32"/>
          <w:highlight w:val="none"/>
          <w:u w:val="none"/>
          <w:lang w:val="en-US" w:eastAsia="zh-CN"/>
        </w:rPr>
        <w:t>比例（%）=绿色产业增加值（万元）/园区工业增加值（万元）×100%。</w:t>
      </w:r>
    </w:p>
    <w:p w14:paraId="64646EF4">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（二）高新技术产业产值占园区工业总产值比例（必选）</w:t>
      </w:r>
    </w:p>
    <w:p w14:paraId="6C3F65CE">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指标解释：园区内高新技术企业的工业总产值占园区工业总产值的比值。其中，高新技术企业是指依据《高新技术企业认定管理办法》认定的工业范畴的高新技术企业。</w:t>
      </w:r>
    </w:p>
    <w:p w14:paraId="305A9C8B">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计算公式：高新技术产业产值占园区工业总产值比例（%）=高新技术企业的工业产值之和（万元）/工业园区工业总产值（万元）×100%。</w:t>
      </w:r>
    </w:p>
    <w:p w14:paraId="4611DDD0">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（三）人均工业增加值（可选）</w:t>
      </w:r>
    </w:p>
    <w:p w14:paraId="64E79193">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eastAsia"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指标解释：园区工业增加值与园区内工业企业从业人数的比值。</w:t>
      </w:r>
    </w:p>
    <w:p w14:paraId="103E4757">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计算公式：人均工业增加值（万元/人）=园区工业增加值（万元）/园区年末工业企业从业人数（人）。</w:t>
      </w:r>
    </w:p>
    <w:p w14:paraId="75E664E0">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（四）现代服务业比例（可选）</w:t>
      </w:r>
    </w:p>
    <w:p w14:paraId="4FAE9CAD">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指标解释：为适应现代园区发展的需求，而产生和发展起来的具有高技术含量和高文化含量的服务业。主要包括基础服务（包括通信服务和信息服务）、生产和市场服务（包括金融、物流、批发、电子商务、农业支撑服务以及中介和咨询等专业服</w:t>
      </w:r>
      <w:r>
        <w:rPr>
          <w:rStyle w:val="8"/>
          <w:rFonts w:hint="default" w:ascii="仿宋_GB2312" w:hAnsi="仿宋_GB2312" w:eastAsia="仿宋_GB2312" w:cs="仿宋_GB2312"/>
          <w:b w:val="0"/>
          <w:bCs w:val="0"/>
          <w:color w:val="auto"/>
          <w:kern w:val="2"/>
          <w:sz w:val="32"/>
          <w:szCs w:val="32"/>
          <w:highlight w:val="none"/>
          <w:u w:val="none"/>
          <w:lang w:val="en-US" w:eastAsia="zh-CN"/>
        </w:rPr>
        <w:t>务）、个人消费服务（包括教育、医疗保健、住宿、餐饮、文化娱乐、旅游、房地产、商品零售等）和公共服务（包括政府的公共管理服务、基础教育、公共卫生、医疗以及公益性信息服务等）。</w:t>
      </w:r>
    </w:p>
    <w:p w14:paraId="243745D1">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计算公式：现代服务业比例（%）=现代服务业增加值（万元）/园区GDP×100%。</w:t>
      </w:r>
    </w:p>
    <w:p w14:paraId="42BF05D6">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14:paraId="2C4BD160">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生态环境绿色化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14:paraId="2364CAFB">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（一）工业固体废弃物（含危废）处置利用率（必选）</w:t>
      </w:r>
    </w:p>
    <w:p w14:paraId="43B29F02">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eastAsia"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指标解释：园区范围内各工业企业安全处置、综合利用及安全贮存的工业固体废物量（含危险废物）之和与当年工业固体废物总产生量的比值。</w:t>
      </w:r>
    </w:p>
    <w:p w14:paraId="0F6DCDE5">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计算公式：工业固体废弃物（含危</w:t>
      </w:r>
      <w:r>
        <w:rPr>
          <w:rStyle w:val="8"/>
          <w:rFonts w:hint="default" w:ascii="仿宋_GB2312" w:hAnsi="仿宋_GB2312" w:eastAsia="仿宋_GB2312" w:cs="仿宋_GB2312"/>
          <w:b w:val="0"/>
          <w:bCs w:val="0"/>
          <w:color w:val="auto"/>
          <w:kern w:val="2"/>
          <w:sz w:val="32"/>
          <w:szCs w:val="32"/>
          <w:highlight w:val="none"/>
          <w:u w:val="none"/>
          <w:lang w:val="en-US" w:eastAsia="zh-CN"/>
        </w:rPr>
        <w:t>废）处置利用率（%）=园区当年工业固体废物处置利用量（含危险废物）（t）/园区当年工业固体废物总产生量（t）×100%。</w:t>
      </w:r>
    </w:p>
    <w:p w14:paraId="2DB6EFF1">
      <w:pPr>
        <w:keepNext w:val="0"/>
        <w:keepLines w:val="0"/>
        <w:pageBreakBefore w:val="0"/>
        <w:kinsoku/>
        <w:wordWrap/>
        <w:overflowPunct/>
        <w:topLinePunct w:val="0"/>
        <w:bidi w:val="0"/>
        <w:adjustRightInd/>
        <w:snapToGrid/>
        <w:spacing w:line="560" w:lineRule="exact"/>
        <w:ind w:firstLine="630"/>
        <w:textAlignment w:val="auto"/>
        <w:rPr>
          <w:rFonts w:hint="default" w:ascii="楷体_GB2312" w:hAnsi="楷体_GB2312" w:eastAsia="楷体_GB2312" w:cs="楷体_GB2312"/>
          <w:kern w:val="0"/>
          <w:sz w:val="32"/>
          <w:szCs w:val="32"/>
          <w:lang w:val="en-US" w:eastAsia="zh-CN" w:bidi="ar-SA"/>
        </w:rPr>
      </w:pPr>
      <w:r>
        <w:rPr>
          <w:rFonts w:hint="default" w:ascii="楷体_GB2312" w:hAnsi="楷体_GB2312" w:eastAsia="楷体_GB2312" w:cs="楷体_GB2312"/>
          <w:kern w:val="0"/>
          <w:sz w:val="32"/>
          <w:szCs w:val="32"/>
          <w:lang w:val="en-US" w:eastAsia="zh-CN" w:bidi="ar-SA"/>
        </w:rPr>
        <w:t>（二）万元工业增加值碳排放量消减率（必选）</w:t>
      </w:r>
    </w:p>
    <w:p w14:paraId="174D69CB">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指标解释：园区内工业企业产生单位工业增加值所排放的二氧化碳当量的创建期年均消减率。创建期是指绿色工业园区创建周期。</w:t>
      </w:r>
    </w:p>
    <w:p w14:paraId="749C88A3">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计算公式：万元工业增加值碳排放量消减率（%）=[1-（验收年单位工业增加值二氧化碳排放量(tCO2-eq/万元</w:t>
      </w:r>
      <w:r>
        <w:rPr>
          <w:rStyle w:val="8"/>
          <w:rFonts w:hint="default" w:ascii="仿宋_GB2312" w:hAnsi="仿宋_GB2312" w:eastAsia="仿宋_GB2312" w:cs="仿宋_GB2312"/>
          <w:b w:val="0"/>
          <w:bCs w:val="0"/>
          <w:color w:val="auto"/>
          <w:kern w:val="2"/>
          <w:sz w:val="32"/>
          <w:szCs w:val="32"/>
          <w:highlight w:val="none"/>
          <w:u w:val="none"/>
          <w:lang w:val="en-US" w:eastAsia="zh-CN"/>
        </w:rPr>
        <w:t>)/创建基准年单位工业增加值二氧化碳排放量(tCO2-eq/万元)）1/创建周期]×100%。</w:t>
      </w:r>
    </w:p>
    <w:p w14:paraId="5996C210">
      <w:pPr>
        <w:keepNext w:val="0"/>
        <w:keepLines w:val="0"/>
        <w:pageBreakBefore w:val="0"/>
        <w:kinsoku/>
        <w:wordWrap/>
        <w:overflowPunct/>
        <w:topLinePunct w:val="0"/>
        <w:bidi w:val="0"/>
        <w:adjustRightInd/>
        <w:snapToGrid/>
        <w:spacing w:line="560" w:lineRule="exact"/>
        <w:ind w:firstLine="630"/>
        <w:textAlignment w:val="auto"/>
        <w:rPr>
          <w:rFonts w:hint="default" w:ascii="楷体" w:hAnsi="楷体" w:eastAsia="楷体" w:cs="楷体"/>
          <w:sz w:val="32"/>
          <w:szCs w:val="32"/>
        </w:rPr>
      </w:pPr>
      <w:r>
        <w:rPr>
          <w:rFonts w:hint="default" w:ascii="楷体" w:hAnsi="楷体" w:eastAsia="楷体" w:cs="楷体"/>
          <w:sz w:val="32"/>
          <w:szCs w:val="32"/>
        </w:rPr>
        <w:t>（三）单位工业增加值废水排放量（必选）</w:t>
      </w:r>
    </w:p>
    <w:p w14:paraId="21808277">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eastAsia"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指标解释：指园区单位工业增加值排放的工业废水量，不包括企业梯级利用的废水和园区内居民排放的生活废水。</w:t>
      </w:r>
    </w:p>
    <w:p w14:paraId="0E58CF86">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Style w:val="8"/>
          <w:rFonts w:hint="eastAsia" w:ascii="仿宋_GB2312" w:hAnsi="仿宋_GB2312" w:eastAsia="仿宋_GB2312" w:cs="仿宋_GB2312"/>
          <w:b w:val="0"/>
          <w:bCs w:val="0"/>
          <w:color w:val="auto"/>
          <w:kern w:val="2"/>
          <w:sz w:val="32"/>
          <w:szCs w:val="32"/>
          <w:highlight w:val="none"/>
          <w:u w:val="none"/>
          <w:lang w:val="en-US" w:eastAsia="zh-CN"/>
        </w:rPr>
        <w:t>计算公式：单位工业增加值废水排放量（t/万元）=园区工业废水排放总量（t）/园区工业增加值总量（万元）。</w:t>
      </w:r>
    </w:p>
    <w:p w14:paraId="61805269">
      <w:pPr>
        <w:keepNext w:val="0"/>
        <w:keepLines w:val="0"/>
        <w:pageBreakBefore w:val="0"/>
        <w:kinsoku/>
        <w:wordWrap/>
        <w:overflowPunct/>
        <w:topLinePunct w:val="0"/>
        <w:bidi w:val="0"/>
        <w:adjustRightInd/>
        <w:snapToGrid/>
        <w:spacing w:line="560" w:lineRule="exact"/>
        <w:ind w:firstLine="630"/>
        <w:textAlignment w:val="auto"/>
        <w:rPr>
          <w:rFonts w:hint="default" w:ascii="楷体" w:hAnsi="楷体" w:eastAsia="楷体" w:cs="楷体"/>
          <w:sz w:val="32"/>
          <w:szCs w:val="32"/>
        </w:rPr>
      </w:pPr>
      <w:r>
        <w:rPr>
          <w:rFonts w:hint="default" w:ascii="楷体" w:hAnsi="楷体" w:eastAsia="楷体" w:cs="楷体"/>
          <w:sz w:val="32"/>
          <w:szCs w:val="32"/>
        </w:rPr>
        <w:t>（四）主要污染物弹性系数（必选）</w:t>
      </w:r>
    </w:p>
    <w:p w14:paraId="24FDCCC6">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eastAsia" w:ascii="仿宋_GB2312" w:hAnsi="仿宋_GB2312" w:eastAsia="仿宋_GB2312" w:cs="仿宋_GB2312"/>
          <w:b w:val="0"/>
          <w:bCs w:val="0"/>
          <w:color w:val="auto"/>
          <w:kern w:val="2"/>
          <w:sz w:val="32"/>
          <w:szCs w:val="32"/>
          <w:highlight w:val="none"/>
          <w:u w:val="none"/>
          <w:lang w:val="en-US" w:eastAsia="zh-CN"/>
        </w:rPr>
        <w:t>指标解释：指园区内工业企业排放的各类主要污染物排放弹性系数的算术平均值。其中，主要污染物指从创建基准年到</w:t>
      </w:r>
      <w:r>
        <w:rPr>
          <w:rStyle w:val="8"/>
          <w:rFonts w:hint="default" w:ascii="仿宋_GB2312" w:hAnsi="仿宋_GB2312" w:eastAsia="仿宋_GB2312" w:cs="仿宋_GB2312"/>
          <w:b w:val="0"/>
          <w:bCs w:val="0"/>
          <w:color w:val="auto"/>
          <w:kern w:val="2"/>
          <w:sz w:val="32"/>
          <w:szCs w:val="32"/>
          <w:highlight w:val="none"/>
          <w:u w:val="none"/>
          <w:lang w:val="en-US" w:eastAsia="zh-CN"/>
        </w:rPr>
        <w:t>验收年，国家政策明确要求总量减排和控制的污染物，包括COD、SO2、氨氮、NOX等。某种主要污染物排放弹性系数，指园区内工业企业排放的某一种主要污染物排放总量的三年年均增长率与工业增加值三年年均增长率的比值。</w:t>
      </w:r>
    </w:p>
    <w:p w14:paraId="6FBAD6ED">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计算公式：某种污染物排放弹性系数=某种污染物排放量创建周期年均增长率（%）/园区工业增加值创建周期年均增长率（%）；主要污染物排放弹性系数=主要污染物排放弹性系数之和/污染物个数。</w:t>
      </w:r>
    </w:p>
    <w:p w14:paraId="43ABFE48">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rPr>
        <w:t>）园区空气质量优良率（必选）</w:t>
      </w:r>
    </w:p>
    <w:p w14:paraId="55F51D5D">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指标解释：指空气质量优良天数占全年天数的比例。空气质量优良等级按照GB 3085《环境空气质量标准》确定。</w:t>
      </w:r>
    </w:p>
    <w:p w14:paraId="1453A42D">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六</w:t>
      </w:r>
      <w:r>
        <w:rPr>
          <w:rFonts w:hint="default" w:ascii="Times New Roman" w:hAnsi="Times New Roman" w:eastAsia="楷体" w:cs="Times New Roman"/>
          <w:sz w:val="32"/>
          <w:szCs w:val="32"/>
        </w:rPr>
        <w:t>）绿化覆盖率（</w:t>
      </w:r>
      <w:r>
        <w:rPr>
          <w:rFonts w:hint="default" w:ascii="Times New Roman" w:hAnsi="Times New Roman" w:eastAsia="楷体" w:cs="Times New Roman"/>
          <w:sz w:val="32"/>
          <w:szCs w:val="32"/>
          <w:lang w:val="en-US" w:eastAsia="zh-CN"/>
        </w:rPr>
        <w:t>可</w:t>
      </w:r>
      <w:r>
        <w:rPr>
          <w:rFonts w:hint="default" w:ascii="Times New Roman" w:hAnsi="Times New Roman" w:eastAsia="楷体" w:cs="Times New Roman"/>
          <w:sz w:val="32"/>
          <w:szCs w:val="32"/>
        </w:rPr>
        <w:t>选）</w:t>
      </w:r>
    </w:p>
    <w:p w14:paraId="5A8B7301">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指标解释：园区内各类绿地总面积与园区规划范围内用地总面积的比值。</w:t>
      </w:r>
    </w:p>
    <w:p w14:paraId="0D60F49F">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计算公式：绿色覆盖率（%）=园区内各类绿地总面积（m2）/园区用地总面积（</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Style w:val="8"/>
          <w:rFonts w:hint="default" w:ascii="仿宋_GB2312" w:hAnsi="仿宋_GB2312" w:eastAsia="仿宋_GB2312" w:cs="仿宋_GB2312"/>
          <w:b w:val="0"/>
          <w:bCs w:val="0"/>
          <w:color w:val="auto"/>
          <w:kern w:val="2"/>
          <w:sz w:val="32"/>
          <w:szCs w:val="32"/>
          <w:highlight w:val="none"/>
          <w:u w:val="none"/>
          <w:lang w:val="en-US" w:eastAsia="zh-CN"/>
        </w:rPr>
        <w:t>）×100%。</w:t>
      </w:r>
    </w:p>
    <w:p w14:paraId="361A5428">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（七）道路遮荫比例（可选）</w:t>
      </w:r>
    </w:p>
    <w:p w14:paraId="289081E8">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指标解释：指道路两旁树冠垂直投影遮蔽的总阴影面积与步行道路总面积的比值。</w:t>
      </w:r>
    </w:p>
    <w:p w14:paraId="4F0F6F99">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计算公式：道路遮荫比例（%）=道路两旁树冠垂直投影遮蔽的总阴影面积（</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Style w:val="8"/>
          <w:rFonts w:hint="default" w:ascii="仿宋_GB2312" w:hAnsi="仿宋_GB2312" w:eastAsia="仿宋_GB2312" w:cs="仿宋_GB2312"/>
          <w:b w:val="0"/>
          <w:bCs w:val="0"/>
          <w:color w:val="auto"/>
          <w:kern w:val="2"/>
          <w:sz w:val="32"/>
          <w:szCs w:val="32"/>
          <w:highlight w:val="none"/>
          <w:u w:val="none"/>
          <w:lang w:val="en-US" w:eastAsia="zh-CN"/>
        </w:rPr>
        <w:t>）/步行道路总面积（</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Style w:val="8"/>
          <w:rFonts w:hint="default" w:ascii="仿宋_GB2312" w:hAnsi="仿宋_GB2312" w:eastAsia="仿宋_GB2312" w:cs="仿宋_GB2312"/>
          <w:b w:val="0"/>
          <w:bCs w:val="0"/>
          <w:color w:val="auto"/>
          <w:kern w:val="2"/>
          <w:sz w:val="32"/>
          <w:szCs w:val="32"/>
          <w:highlight w:val="none"/>
          <w:u w:val="none"/>
          <w:lang w:val="en-US" w:eastAsia="zh-CN"/>
        </w:rPr>
        <w:t>）×100%。</w:t>
      </w:r>
    </w:p>
    <w:p w14:paraId="4088F121">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（八）露天停车场遮荫比例（可选）</w:t>
      </w:r>
    </w:p>
    <w:p w14:paraId="43F24582">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指标要求：露天停车场遮阴比例应达到80%。</w:t>
      </w:r>
    </w:p>
    <w:p w14:paraId="559F4C59">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指标解释：指露天停车场树冠垂直投影遮蔽的总阴影面积与露天停车场总面积的比值。</w:t>
      </w:r>
    </w:p>
    <w:p w14:paraId="34462AA0">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计算公式：露天停车场遮荫比例（%）=露天停车场树冠垂直投影遮蔽的总阴影面积（</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Style w:val="8"/>
          <w:rFonts w:hint="default" w:ascii="仿宋_GB2312" w:hAnsi="仿宋_GB2312" w:eastAsia="仿宋_GB2312" w:cs="仿宋_GB2312"/>
          <w:b w:val="0"/>
          <w:bCs w:val="0"/>
          <w:color w:val="auto"/>
          <w:kern w:val="2"/>
          <w:sz w:val="32"/>
          <w:szCs w:val="32"/>
          <w:highlight w:val="none"/>
          <w:u w:val="none"/>
          <w:lang w:val="en-US" w:eastAsia="zh-CN"/>
        </w:rPr>
        <w:t>）/露天停车场总面积（</w:t>
      </w: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Style w:val="8"/>
          <w:rFonts w:hint="default" w:ascii="仿宋_GB2312" w:hAnsi="仿宋_GB2312" w:eastAsia="仿宋_GB2312" w:cs="仿宋_GB2312"/>
          <w:b w:val="0"/>
          <w:bCs w:val="0"/>
          <w:color w:val="auto"/>
          <w:kern w:val="2"/>
          <w:sz w:val="32"/>
          <w:szCs w:val="32"/>
          <w:highlight w:val="none"/>
          <w:u w:val="none"/>
          <w:lang w:val="en-US" w:eastAsia="zh-CN"/>
        </w:rPr>
        <w:t>）×100%。</w:t>
      </w:r>
    </w:p>
    <w:p w14:paraId="36D71832">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14:paraId="256A0672">
      <w:pPr>
        <w:keepNext w:val="0"/>
        <w:keepLines w:val="0"/>
        <w:pageBreakBefore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Style w:val="8"/>
          <w:rFonts w:hint="default" w:ascii="仿宋_GB2312" w:hAnsi="仿宋_GB2312" w:eastAsia="仿宋_GB2312" w:cs="仿宋_GB2312"/>
          <w:b w:val="0"/>
          <w:bCs w:val="0"/>
          <w:color w:val="auto"/>
          <w:kern w:val="2"/>
          <w:sz w:val="32"/>
          <w:szCs w:val="32"/>
          <w:highlight w:val="none"/>
          <w:u w:val="none"/>
          <w:lang w:val="en-US" w:eastAsia="zh-CN"/>
        </w:rPr>
        <w:t>运行管理绿色化指标包括绿色工业园区标准体系完善程度、编制绿色工业园区发展规划、绿色工业园区信息平台完善程度3个必选指标。</w:t>
      </w:r>
    </w:p>
    <w:p w14:paraId="06C89750">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标准体系完善程度（必选）</w:t>
      </w:r>
    </w:p>
    <w:p w14:paraId="1FF969D0">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主要考核是否建立与其产业链和主导产业相适应的绿色工业园区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14:paraId="2B782ABB">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（二）编制</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发展规划（必选）</w:t>
      </w:r>
    </w:p>
    <w:p w14:paraId="15F9FBB1">
      <w:pPr>
        <w:keepNext w:val="0"/>
        <w:keepLines w:val="0"/>
        <w:pageBreakBefore w:val="0"/>
        <w:kinsoku/>
        <w:wordWrap/>
        <w:overflowPunct/>
        <w:topLinePunct w:val="0"/>
        <w:bidi w:val="0"/>
        <w:adjustRightInd/>
        <w:snapToGrid/>
        <w:spacing w:line="560" w:lineRule="exact"/>
        <w:ind w:firstLine="640" w:firstLineChars="200"/>
        <w:textAlignment w:val="auto"/>
        <w:rPr>
          <w:rStyle w:val="8"/>
          <w:rFonts w:hint="default" w:ascii="仿宋_GB2312" w:hAnsi="仿宋_GB2312" w:eastAsia="仿宋_GB2312" w:cs="仿宋_GB2312"/>
          <w:b w:val="0"/>
          <w:bCs w:val="0"/>
          <w:color w:val="auto"/>
          <w:kern w:val="2"/>
          <w:sz w:val="32"/>
          <w:szCs w:val="32"/>
          <w:highlight w:val="none"/>
          <w:u w:val="none"/>
          <w:lang w:val="en-US" w:eastAsia="zh-CN"/>
        </w:rPr>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指标解释：按照本实施方案的创建内容编制绿色工业园区发展规划，原则上每五年编制一次。</w:t>
      </w:r>
    </w:p>
    <w:p w14:paraId="5021B961">
      <w:pPr>
        <w:keepNext w:val="0"/>
        <w:keepLines w:val="0"/>
        <w:pageBreakBefore w:val="0"/>
        <w:kinsoku/>
        <w:wordWrap/>
        <w:overflowPunct/>
        <w:topLinePunct w:val="0"/>
        <w:bidi w:val="0"/>
        <w:adjustRightInd/>
        <w:snapToGrid/>
        <w:spacing w:line="560" w:lineRule="exact"/>
        <w:ind w:firstLine="630"/>
        <w:textAlignment w:val="auto"/>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信息平台完善程度（必选）</w:t>
      </w:r>
    </w:p>
    <w:p w14:paraId="60493152">
      <w:pPr>
        <w:keepNext w:val="0"/>
        <w:keepLines w:val="0"/>
        <w:pageBreakBefore w:val="0"/>
        <w:kinsoku/>
        <w:wordWrap/>
        <w:overflowPunct/>
        <w:topLinePunct w:val="0"/>
        <w:bidi w:val="0"/>
        <w:adjustRightInd/>
        <w:snapToGrid/>
        <w:spacing w:line="560" w:lineRule="exact"/>
        <w:ind w:firstLine="640" w:firstLineChars="200"/>
        <w:textAlignment w:val="auto"/>
      </w:pPr>
      <w:r>
        <w:rPr>
          <w:rStyle w:val="8"/>
          <w:rFonts w:hint="default" w:ascii="仿宋_GB2312" w:hAnsi="仿宋_GB2312" w:eastAsia="仿宋_GB2312" w:cs="仿宋_GB2312"/>
          <w:b w:val="0"/>
          <w:bCs w:val="0"/>
          <w:color w:val="auto"/>
          <w:kern w:val="2"/>
          <w:sz w:val="32"/>
          <w:szCs w:val="32"/>
          <w:highlight w:val="none"/>
          <w:u w:val="none"/>
          <w:lang w:val="en-US" w:eastAsia="zh-CN"/>
        </w:rPr>
        <w:t>指标解释：主要考核是否创建局域网；是否定期在园区管委会网站、局域网或相关网站上发布绿色工业园区建设和改造信息；是否在园区局域网上有园区主导行业清洁生产技术信息（主要包括原材料选择、节水、节能、环保等方面）、废物资源化技术信息、绿色建筑技术信息、绿色交通技术信息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B58F41-B850-48F8-8CD2-F9CF57D4CD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5696CE-D433-42C3-8D13-AAE4B75054B9}"/>
  </w:font>
  <w:font w:name="方正小标宋简体">
    <w:panose1 w:val="02000000000000000000"/>
    <w:charset w:val="86"/>
    <w:family w:val="auto"/>
    <w:pitch w:val="default"/>
    <w:sig w:usb0="00000001" w:usb1="08000000" w:usb2="00000000" w:usb3="00000000" w:csb0="00040000" w:csb1="00000000"/>
    <w:embedRegular r:id="rId3" w:fontKey="{0A96C38D-44C3-482A-ABD3-6A103214E33E}"/>
  </w:font>
  <w:font w:name="仿宋_GB2312">
    <w:altName w:val="仿宋"/>
    <w:panose1 w:val="02010609030101010101"/>
    <w:charset w:val="86"/>
    <w:family w:val="auto"/>
    <w:pitch w:val="default"/>
    <w:sig w:usb0="00000000" w:usb1="00000000" w:usb2="00000000" w:usb3="00000000" w:csb0="00040000" w:csb1="00000000"/>
    <w:embedRegular r:id="rId4" w:fontKey="{93F3AAA2-9202-480C-A1AE-F446A6E9C472}"/>
  </w:font>
  <w:font w:name="楷体">
    <w:panose1 w:val="02010609060101010101"/>
    <w:charset w:val="86"/>
    <w:family w:val="auto"/>
    <w:pitch w:val="default"/>
    <w:sig w:usb0="800002BF" w:usb1="38CF7CFA" w:usb2="00000016" w:usb3="00000000" w:csb0="00040001" w:csb1="00000000"/>
    <w:embedRegular r:id="rId5" w:fontKey="{11F296EF-36E7-49DE-AB1C-26F31EE691E8}"/>
  </w:font>
  <w:font w:name="仿宋">
    <w:panose1 w:val="02010609060101010101"/>
    <w:charset w:val="86"/>
    <w:family w:val="auto"/>
    <w:pitch w:val="default"/>
    <w:sig w:usb0="800002BF" w:usb1="38CF7CFA" w:usb2="00000016" w:usb3="00000000" w:csb0="00040001" w:csb1="00000000"/>
    <w:embedRegular r:id="rId6" w:fontKey="{CCE2A60B-4A26-4961-B829-47F11BB1A072}"/>
  </w:font>
  <w:font w:name="楷体_GB2312">
    <w:altName w:val="楷体"/>
    <w:panose1 w:val="02010609030101010101"/>
    <w:charset w:val="86"/>
    <w:family w:val="auto"/>
    <w:pitch w:val="default"/>
    <w:sig w:usb0="00000000" w:usb1="00000000" w:usb2="00000000" w:usb3="00000000" w:csb0="00040000" w:csb1="00000000"/>
    <w:embedRegular r:id="rId7" w:fontKey="{2E7B60BA-DE11-4D91-BD64-D399B2DDACC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876F5"/>
    <w:rsid w:val="0D610DB7"/>
    <w:rsid w:val="28802512"/>
    <w:rsid w:val="7308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列出段落1"/>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8">
    <w:name w:val="NormalCharacter"/>
    <w:link w:val="9"/>
    <w:qFormat/>
    <w:uiPriority w:val="0"/>
    <w:rPr>
      <w:rFonts w:ascii="Times New Roman" w:hAnsi="Times New Roman" w:eastAsia="宋体" w:cs="Times New Roman"/>
      <w:lang w:val="en-US" w:eastAsia="zh-CN" w:bidi="ar-SA"/>
    </w:rPr>
  </w:style>
  <w:style w:type="paragraph" w:customStyle="1" w:styleId="9">
    <w:name w:val="UserStyle_0"/>
    <w:next w:val="1"/>
    <w:link w:val="8"/>
    <w:qFormat/>
    <w:uiPriority w:val="0"/>
    <w:pPr>
      <w:jc w:val="both"/>
      <w:textAlignment w:val="baseline"/>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3" Type="http://schemas.openxmlformats.org/officeDocument/2006/relationships/fontTable" Target="fontTable.xml"/><Relationship Id="rId42" Type="http://schemas.openxmlformats.org/officeDocument/2006/relationships/oleObject" Target="embeddings/oleObject25.bin"/><Relationship Id="rId41" Type="http://schemas.openxmlformats.org/officeDocument/2006/relationships/image" Target="media/image14.wmf"/><Relationship Id="rId40" Type="http://schemas.openxmlformats.org/officeDocument/2006/relationships/oleObject" Target="embeddings/oleObject24.bin"/><Relationship Id="rId4" Type="http://schemas.openxmlformats.org/officeDocument/2006/relationships/oleObject" Target="embeddings/oleObject1.bin"/><Relationship Id="rId39" Type="http://schemas.openxmlformats.org/officeDocument/2006/relationships/oleObject" Target="embeddings/oleObject23.bin"/><Relationship Id="rId38" Type="http://schemas.openxmlformats.org/officeDocument/2006/relationships/image" Target="media/image13.wmf"/><Relationship Id="rId37" Type="http://schemas.openxmlformats.org/officeDocument/2006/relationships/oleObject" Target="embeddings/oleObject22.bin"/><Relationship Id="rId36" Type="http://schemas.openxmlformats.org/officeDocument/2006/relationships/oleObject" Target="embeddings/oleObject21.bin"/><Relationship Id="rId35" Type="http://schemas.openxmlformats.org/officeDocument/2006/relationships/image" Target="media/image12.wmf"/><Relationship Id="rId34" Type="http://schemas.openxmlformats.org/officeDocument/2006/relationships/oleObject" Target="embeddings/oleObject20.bin"/><Relationship Id="rId33" Type="http://schemas.openxmlformats.org/officeDocument/2006/relationships/oleObject" Target="embeddings/oleObject19.bin"/><Relationship Id="rId32" Type="http://schemas.openxmlformats.org/officeDocument/2006/relationships/image" Target="media/image11.wmf"/><Relationship Id="rId31" Type="http://schemas.openxmlformats.org/officeDocument/2006/relationships/oleObject" Target="embeddings/oleObject18.bin"/><Relationship Id="rId30" Type="http://schemas.openxmlformats.org/officeDocument/2006/relationships/oleObject" Target="embeddings/oleObject17.bin"/><Relationship Id="rId3" Type="http://schemas.openxmlformats.org/officeDocument/2006/relationships/theme" Target="theme/theme1.xml"/><Relationship Id="rId29" Type="http://schemas.openxmlformats.org/officeDocument/2006/relationships/image" Target="media/image10.wmf"/><Relationship Id="rId28" Type="http://schemas.openxmlformats.org/officeDocument/2006/relationships/oleObject" Target="embeddings/oleObject16.bin"/><Relationship Id="rId27" Type="http://schemas.openxmlformats.org/officeDocument/2006/relationships/oleObject" Target="embeddings/oleObject15.bin"/><Relationship Id="rId26" Type="http://schemas.openxmlformats.org/officeDocument/2006/relationships/image" Target="media/image9.wmf"/><Relationship Id="rId25" Type="http://schemas.openxmlformats.org/officeDocument/2006/relationships/oleObject" Target="embeddings/oleObject14.bin"/><Relationship Id="rId24" Type="http://schemas.openxmlformats.org/officeDocument/2006/relationships/oleObject" Target="embeddings/oleObject13.bin"/><Relationship Id="rId23" Type="http://schemas.openxmlformats.org/officeDocument/2006/relationships/image" Target="media/image8.wmf"/><Relationship Id="rId22" Type="http://schemas.openxmlformats.org/officeDocument/2006/relationships/oleObject" Target="embeddings/oleObject12.bin"/><Relationship Id="rId21" Type="http://schemas.openxmlformats.org/officeDocument/2006/relationships/oleObject" Target="embeddings/oleObject11.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image" Target="media/image6.wmf"/><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image" Target="media/image5.wmf"/><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4968</Words>
  <Characters>5180</Characters>
  <Lines>0</Lines>
  <Paragraphs>0</Paragraphs>
  <TotalTime>24</TotalTime>
  <ScaleCrop>false</ScaleCrop>
  <LinksUpToDate>false</LinksUpToDate>
  <CharactersWithSpaces>5186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2024-03-22T10:50:00Z</dcterms:created>
  <dc:creator>佢是阿宇</dc:creator>
  <cp:lastModifiedBy>Sylvia</cp:lastModifiedBy>
  <dcterms:modified xsi:type="dcterms:W3CDTF">2025-03-04T08:30:13Z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eyJoZGlkIjoiMzdiNzk1ZDFkNWY3MWEzMjNlZTVhZGNhYmZlNzhlMmUiLCJ1c2VySWQiOiI4MjgwMjE2OTYifQ==</vt:lpwstr>
  </property>
  <property fmtid="{D5CDD505-2E9C-101B-9397-08002B2CF9AE}" pid="4" name="ICV">
    <vt:lpwstr>154DAF69A73446E9BE8168BF390842FE_13</vt:lpwstr>
  </property>
</Properties>
</file>