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bCs/>
          <w:spacing w:val="-6"/>
          <w:sz w:val="32"/>
          <w:szCs w:val="32"/>
        </w:rPr>
      </w:pPr>
      <w:r>
        <w:rPr>
          <w:rFonts w:hint="eastAsia" w:ascii="黑体" w:hAnsi="黑体" w:eastAsia="黑体" w:cs="黑体"/>
          <w:bCs/>
          <w:spacing w:val="-6"/>
          <w:sz w:val="32"/>
          <w:szCs w:val="32"/>
        </w:rPr>
        <w:t>附件</w:t>
      </w:r>
      <w:r>
        <w:rPr>
          <w:rFonts w:hint="default" w:ascii="Times New Roman" w:hAnsi="Times New Roman" w:eastAsia="黑体" w:cs="Times New Roman"/>
          <w:bCs/>
          <w:spacing w:val="-6"/>
          <w:sz w:val="32"/>
          <w:szCs w:val="32"/>
        </w:rPr>
        <w:t>2</w:t>
      </w:r>
    </w:p>
    <w:p>
      <w:pPr>
        <w:adjustRightInd w:val="0"/>
        <w:snapToGrid w:val="0"/>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广州市天河区级农业龙头企业认定和监测评分标准</w:t>
      </w:r>
    </w:p>
    <w:p>
      <w:pPr>
        <w:adjustRightInd w:val="0"/>
        <w:snapToGrid w:val="0"/>
        <w:jc w:val="center"/>
        <w:rPr>
          <w:rFonts w:hint="eastAsia" w:asciiTheme="minorEastAsia" w:hAnsiTheme="minorEastAsia" w:eastAsiaTheme="minorEastAsia" w:cstheme="minorEastAsia"/>
          <w:bCs/>
          <w:sz w:val="24"/>
          <w:szCs w:val="24"/>
        </w:rPr>
      </w:pPr>
    </w:p>
    <w:tbl>
      <w:tblPr>
        <w:tblStyle w:val="6"/>
        <w:tblW w:w="16671" w:type="dxa"/>
        <w:jc w:val="center"/>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7"/>
        <w:gridCol w:w="1239"/>
        <w:gridCol w:w="1508"/>
        <w:gridCol w:w="803"/>
        <w:gridCol w:w="2467"/>
        <w:gridCol w:w="2314"/>
        <w:gridCol w:w="1886"/>
        <w:gridCol w:w="2507"/>
        <w:gridCol w:w="2450"/>
        <w:gridCol w:w="87"/>
        <w:gridCol w:w="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jc w:val="center"/>
        </w:trPr>
        <w:tc>
          <w:tcPr>
            <w:tcW w:w="2336" w:type="dxa"/>
            <w:gridSpan w:val="2"/>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rPr>
              <w:t>企业类型</w:t>
            </w:r>
          </w:p>
        </w:tc>
        <w:tc>
          <w:tcPr>
            <w:tcW w:w="2311" w:type="dxa"/>
            <w:gridSpan w:val="2"/>
            <w:tcBorders>
              <w:right w:val="single" w:color="auto" w:sz="4" w:space="0"/>
            </w:tcBorders>
            <w:vAlign w:val="center"/>
          </w:tcPr>
          <w:p>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一、农产品生产业类</w:t>
            </w:r>
          </w:p>
        </w:tc>
        <w:tc>
          <w:tcPr>
            <w:tcW w:w="2467" w:type="dxa"/>
            <w:tcBorders>
              <w:left w:val="single" w:color="auto" w:sz="4" w:space="0"/>
              <w:right w:val="single" w:color="auto" w:sz="4" w:space="0"/>
            </w:tcBorders>
            <w:vAlign w:val="center"/>
          </w:tcPr>
          <w:p>
            <w:pPr>
              <w:spacing w:line="240" w:lineRule="atLeas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rPr>
              <w:t>二、农产品加工</w:t>
            </w:r>
            <w:r>
              <w:rPr>
                <w:rFonts w:hint="eastAsia" w:ascii="黑体" w:hAnsi="黑体" w:eastAsia="黑体" w:cs="黑体"/>
                <w:b w:val="0"/>
                <w:bCs/>
                <w:sz w:val="24"/>
                <w:szCs w:val="24"/>
                <w:lang w:eastAsia="zh-CN"/>
              </w:rPr>
              <w:t>业类</w:t>
            </w:r>
          </w:p>
        </w:tc>
        <w:tc>
          <w:tcPr>
            <w:tcW w:w="2314" w:type="dxa"/>
            <w:tcBorders>
              <w:left w:val="single" w:color="auto" w:sz="4" w:space="0"/>
              <w:right w:val="single" w:color="auto" w:sz="4" w:space="0"/>
            </w:tcBorders>
            <w:vAlign w:val="center"/>
          </w:tcPr>
          <w:p>
            <w:pPr>
              <w:spacing w:line="240" w:lineRule="atLeast"/>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三、农产品</w:t>
            </w:r>
            <w:r>
              <w:rPr>
                <w:rFonts w:hint="eastAsia" w:ascii="黑体" w:hAnsi="黑体" w:eastAsia="黑体" w:cs="黑体"/>
                <w:b w:val="0"/>
                <w:bCs/>
                <w:sz w:val="24"/>
                <w:szCs w:val="24"/>
              </w:rPr>
              <w:t>流通业</w:t>
            </w:r>
            <w:r>
              <w:rPr>
                <w:rFonts w:hint="eastAsia" w:ascii="黑体" w:hAnsi="黑体" w:eastAsia="黑体" w:cs="黑体"/>
                <w:b w:val="0"/>
                <w:bCs/>
                <w:sz w:val="24"/>
                <w:szCs w:val="24"/>
                <w:lang w:eastAsia="zh-CN"/>
              </w:rPr>
              <w:t>类</w:t>
            </w:r>
          </w:p>
        </w:tc>
        <w:tc>
          <w:tcPr>
            <w:tcW w:w="1886" w:type="dxa"/>
            <w:tcBorders>
              <w:left w:val="single" w:color="auto" w:sz="4" w:space="0"/>
              <w:right w:val="single" w:color="auto" w:sz="4" w:space="0"/>
            </w:tcBorders>
            <w:vAlign w:val="center"/>
          </w:tcPr>
          <w:p>
            <w:pPr>
              <w:spacing w:line="240" w:lineRule="atLeast"/>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四</w:t>
            </w:r>
            <w:r>
              <w:rPr>
                <w:rFonts w:hint="eastAsia" w:ascii="黑体" w:hAnsi="黑体" w:eastAsia="黑体" w:cs="黑体"/>
                <w:b w:val="0"/>
                <w:bCs/>
                <w:sz w:val="24"/>
                <w:szCs w:val="24"/>
              </w:rPr>
              <w:t>、种业类</w:t>
            </w:r>
          </w:p>
        </w:tc>
        <w:tc>
          <w:tcPr>
            <w:tcW w:w="2507" w:type="dxa"/>
            <w:tcBorders>
              <w:left w:val="single" w:color="auto" w:sz="4" w:space="0"/>
              <w:right w:val="single" w:color="auto" w:sz="4" w:space="0"/>
            </w:tcBorders>
            <w:vAlign w:val="center"/>
          </w:tcPr>
          <w:p>
            <w:pPr>
              <w:spacing w:line="240" w:lineRule="atLeast"/>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五</w:t>
            </w:r>
            <w:r>
              <w:rPr>
                <w:rFonts w:hint="eastAsia" w:ascii="黑体" w:hAnsi="黑体" w:eastAsia="黑体" w:cs="黑体"/>
                <w:b w:val="0"/>
                <w:bCs/>
                <w:sz w:val="24"/>
                <w:szCs w:val="24"/>
              </w:rPr>
              <w:t>、农业科技服务业类</w:t>
            </w:r>
          </w:p>
        </w:tc>
        <w:tc>
          <w:tcPr>
            <w:tcW w:w="2850" w:type="dxa"/>
            <w:gridSpan w:val="3"/>
            <w:tcBorders>
              <w:left w:val="single" w:color="auto" w:sz="4" w:space="0"/>
              <w:right w:val="single" w:color="auto" w:sz="4" w:space="0"/>
            </w:tcBorders>
            <w:vAlign w:val="center"/>
          </w:tcPr>
          <w:p>
            <w:pPr>
              <w:spacing w:line="240" w:lineRule="atLeast"/>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六</w:t>
            </w:r>
            <w:r>
              <w:rPr>
                <w:rFonts w:hint="eastAsia" w:ascii="黑体" w:hAnsi="黑体" w:eastAsia="黑体" w:cs="黑体"/>
                <w:b w:val="0"/>
                <w:bCs/>
                <w:sz w:val="24"/>
                <w:szCs w:val="24"/>
              </w:rPr>
              <w:t>、其他涉农产业类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3" w:hRule="exact"/>
          <w:jc w:val="center"/>
        </w:trPr>
        <w:tc>
          <w:tcPr>
            <w:tcW w:w="2336"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w:t>
            </w:r>
            <w:r>
              <w:rPr>
                <w:rFonts w:hint="eastAsia" w:asciiTheme="minorEastAsia" w:hAnsiTheme="minorEastAsia" w:eastAsiaTheme="minorEastAsia" w:cstheme="minorEastAsia"/>
                <w:sz w:val="24"/>
                <w:szCs w:val="24"/>
              </w:rPr>
              <w:t>涉农业务收入占总收入的比重</w:t>
            </w:r>
          </w:p>
        </w:tc>
        <w:tc>
          <w:tcPr>
            <w:tcW w:w="14335" w:type="dxa"/>
            <w:gridSpan w:val="9"/>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达到51%的计20分，达不到的不计分。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2" w:hRule="exact"/>
          <w:jc w:val="center"/>
        </w:trPr>
        <w:tc>
          <w:tcPr>
            <w:tcW w:w="1097" w:type="dxa"/>
            <w:vMerge w:val="restart"/>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二、企</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业规模</w:t>
            </w:r>
          </w:p>
          <w:p>
            <w:pPr>
              <w:adjustRightInd w:val="0"/>
              <w:snapToGrid w:val="0"/>
              <w:ind w:left="-105" w:leftChars="-50" w:right="-105" w:rightChars="-50"/>
              <w:jc w:val="center"/>
              <w:rPr>
                <w:rFonts w:hint="eastAsia" w:asciiTheme="minorEastAsia" w:hAnsiTheme="minorEastAsia" w:eastAsiaTheme="minorEastAsia" w:cstheme="minorEastAsia"/>
                <w:sz w:val="24"/>
                <w:szCs w:val="24"/>
              </w:rPr>
            </w:pPr>
          </w:p>
        </w:tc>
        <w:tc>
          <w:tcPr>
            <w:tcW w:w="1239"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1.总资产  </w:t>
            </w:r>
          </w:p>
        </w:tc>
        <w:tc>
          <w:tcPr>
            <w:tcW w:w="2311"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246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w:t>
            </w:r>
            <w:bookmarkStart w:id="0" w:name="_GoBack"/>
            <w:bookmarkEnd w:id="0"/>
            <w:r>
              <w:rPr>
                <w:rFonts w:hint="eastAsia" w:asciiTheme="minorEastAsia" w:hAnsiTheme="minorEastAsia" w:eastAsiaTheme="minorEastAsia" w:cstheme="minorEastAsia"/>
                <w:sz w:val="24"/>
                <w:szCs w:val="24"/>
                <w:lang w:val="en-US" w:eastAsia="zh-CN"/>
              </w:rPr>
              <w:t>万元加1分，加分最多不超过5分</w:t>
            </w:r>
            <w:r>
              <w:rPr>
                <w:rFonts w:hint="eastAsia" w:asciiTheme="minorEastAsia" w:hAnsiTheme="minorEastAsia" w:eastAsiaTheme="minorEastAsia" w:cstheme="minorEastAsia"/>
                <w:sz w:val="24"/>
                <w:szCs w:val="24"/>
              </w:rPr>
              <w:t>。</w:t>
            </w:r>
          </w:p>
        </w:tc>
        <w:tc>
          <w:tcPr>
            <w:tcW w:w="2314"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1886"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c>
          <w:tcPr>
            <w:tcW w:w="250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c>
          <w:tcPr>
            <w:tcW w:w="2850" w:type="dxa"/>
            <w:gridSpan w:val="3"/>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w:t>
            </w:r>
            <w:r>
              <w:rPr>
                <w:rFonts w:hint="eastAsia" w:asciiTheme="minorEastAsia" w:hAnsiTheme="minorEastAsia" w:eastAsiaTheme="minorEastAsia" w:cstheme="minorEastAsia"/>
                <w:sz w:val="24"/>
                <w:szCs w:val="24"/>
                <w:lang w:eastAsia="zh-CN"/>
              </w:rPr>
              <w:t>（其中，动物诊疗达到</w:t>
            </w:r>
            <w:r>
              <w:rPr>
                <w:rFonts w:hint="eastAsia" w:asciiTheme="minorEastAsia" w:hAnsiTheme="minorEastAsia" w:eastAsiaTheme="minorEastAsia" w:cstheme="minorEastAsia"/>
                <w:sz w:val="24"/>
                <w:szCs w:val="24"/>
                <w:lang w:val="en-US" w:eastAsia="zh-CN"/>
              </w:rPr>
              <w:t>100万元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50万元扣1分，每超100万元加1分，加分最多不超过5分</w:t>
            </w:r>
            <w:r>
              <w:rPr>
                <w:rFonts w:hint="eastAsia" w:asciiTheme="minorEastAsia" w:hAnsiTheme="minorEastAsia" w:eastAsiaTheme="minorEastAsia" w:cs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6" w:hRule="exact"/>
          <w:jc w:val="center"/>
        </w:trPr>
        <w:tc>
          <w:tcPr>
            <w:tcW w:w="1097" w:type="dxa"/>
            <w:vMerge w:val="continue"/>
            <w:vAlign w:val="center"/>
          </w:tcPr>
          <w:p>
            <w:pPr>
              <w:rPr>
                <w:rFonts w:hint="eastAsia" w:asciiTheme="minorEastAsia" w:hAnsiTheme="minorEastAsia" w:eastAsiaTheme="minorEastAsia" w:cstheme="minorEastAsia"/>
                <w:color w:val="000000"/>
                <w:kern w:val="0"/>
                <w:sz w:val="24"/>
                <w:szCs w:val="24"/>
              </w:rPr>
            </w:pPr>
          </w:p>
        </w:tc>
        <w:tc>
          <w:tcPr>
            <w:tcW w:w="1239"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2.固定资产</w:t>
            </w:r>
          </w:p>
        </w:tc>
        <w:tc>
          <w:tcPr>
            <w:tcW w:w="2311"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达到80万元计5分，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10万元扣1分，每超50万元加1分，加分最多不超过5分</w:t>
            </w:r>
            <w:r>
              <w:rPr>
                <w:rFonts w:hint="eastAsia" w:asciiTheme="minorEastAsia" w:hAnsiTheme="minorEastAsia" w:eastAsiaTheme="minorEastAsia" w:cstheme="minorEastAsia"/>
                <w:sz w:val="24"/>
                <w:szCs w:val="24"/>
              </w:rPr>
              <w:t>。</w:t>
            </w:r>
          </w:p>
        </w:tc>
        <w:tc>
          <w:tcPr>
            <w:tcW w:w="246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30万元扣1分，每超50万元加1分，加分最多不超过5分</w:t>
            </w:r>
            <w:r>
              <w:rPr>
                <w:rFonts w:hint="eastAsia" w:asciiTheme="minorEastAsia" w:hAnsiTheme="minorEastAsia" w:eastAsiaTheme="minorEastAsia" w:cstheme="minorEastAsia"/>
                <w:sz w:val="24"/>
                <w:szCs w:val="24"/>
              </w:rPr>
              <w:t>。</w:t>
            </w:r>
          </w:p>
        </w:tc>
        <w:tc>
          <w:tcPr>
            <w:tcW w:w="2314"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30万元扣1分，每超50万元加1分，加分最多不超过5分</w:t>
            </w:r>
            <w:r>
              <w:rPr>
                <w:rFonts w:hint="eastAsia" w:asciiTheme="minorEastAsia" w:hAnsiTheme="minorEastAsia" w:eastAsiaTheme="minorEastAsia" w:cstheme="minorEastAsia"/>
                <w:sz w:val="24"/>
                <w:szCs w:val="24"/>
              </w:rPr>
              <w:t>。</w:t>
            </w:r>
          </w:p>
        </w:tc>
        <w:tc>
          <w:tcPr>
            <w:tcW w:w="1886"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c>
          <w:tcPr>
            <w:tcW w:w="2507" w:type="dxa"/>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万元计5分，</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10万元扣1分，每超20万元加1分，加分最多不超过5分</w:t>
            </w:r>
            <w:r>
              <w:rPr>
                <w:rFonts w:hint="eastAsia" w:asciiTheme="minorEastAsia" w:hAnsiTheme="minorEastAsia" w:eastAsiaTheme="minorEastAsia" w:cstheme="minorEastAsia"/>
                <w:sz w:val="24"/>
                <w:szCs w:val="24"/>
              </w:rPr>
              <w:t>。</w:t>
            </w:r>
          </w:p>
        </w:tc>
        <w:tc>
          <w:tcPr>
            <w:tcW w:w="2850" w:type="dxa"/>
            <w:gridSpan w:val="3"/>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00万元计5分</w:t>
            </w:r>
            <w:r>
              <w:rPr>
                <w:rFonts w:hint="eastAsia" w:asciiTheme="minorEastAsia" w:hAnsiTheme="minorEastAsia" w:eastAsiaTheme="minorEastAsia" w:cstheme="minorEastAsia"/>
                <w:sz w:val="24"/>
                <w:szCs w:val="24"/>
                <w:lang w:eastAsia="zh-CN"/>
              </w:rPr>
              <w:t>（其中，动物诊疗达到</w:t>
            </w:r>
            <w:r>
              <w:rPr>
                <w:rFonts w:hint="eastAsia" w:asciiTheme="minorEastAsia" w:hAnsiTheme="minorEastAsia" w:eastAsiaTheme="minorEastAsia" w:cstheme="minorEastAsia"/>
                <w:sz w:val="24"/>
                <w:szCs w:val="24"/>
                <w:lang w:val="en-US" w:eastAsia="zh-CN"/>
              </w:rPr>
              <w:t>50万元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每少</w:t>
            </w:r>
            <w:r>
              <w:rPr>
                <w:rFonts w:hint="eastAsia" w:asciiTheme="minorEastAsia" w:hAnsiTheme="minorEastAsia" w:eastAsiaTheme="minorEastAsia" w:cstheme="minorEastAsia"/>
                <w:sz w:val="24"/>
                <w:szCs w:val="24"/>
                <w:lang w:val="en-US" w:eastAsia="zh-CN"/>
              </w:rPr>
              <w:t>20万元扣1分，每超50万元加1分，加分最多不超过5分</w:t>
            </w:r>
            <w:r>
              <w:rPr>
                <w:rFonts w:hint="eastAsia" w:asciiTheme="minorEastAsia" w:hAnsiTheme="minorEastAsia" w:eastAsiaTheme="minorEastAsia" w:cs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72" w:hRule="exact"/>
          <w:jc w:val="center"/>
        </w:trPr>
        <w:tc>
          <w:tcPr>
            <w:tcW w:w="1097" w:type="dxa"/>
            <w:vMerge w:val="continue"/>
            <w:vAlign w:val="center"/>
          </w:tcPr>
          <w:p>
            <w:pPr>
              <w:rPr>
                <w:rFonts w:hint="eastAsia" w:asciiTheme="minorEastAsia" w:hAnsiTheme="minorEastAsia" w:eastAsiaTheme="minorEastAsia" w:cstheme="minorEastAsia"/>
                <w:sz w:val="24"/>
                <w:szCs w:val="24"/>
              </w:rPr>
            </w:pPr>
          </w:p>
        </w:tc>
        <w:tc>
          <w:tcPr>
            <w:tcW w:w="1239"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3.年销售收入或交易额</w:t>
            </w:r>
          </w:p>
        </w:tc>
        <w:tc>
          <w:tcPr>
            <w:tcW w:w="2311" w:type="dxa"/>
            <w:gridSpan w:val="2"/>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00万元计20分，每少100万元扣2分，每超100万元加1分，加分最多不超过5分。</w:t>
            </w:r>
          </w:p>
        </w:tc>
        <w:tc>
          <w:tcPr>
            <w:tcW w:w="2467"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00万元计20分，达不到不计分，每超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00万元加1分，加分最多不超过5分。</w:t>
            </w:r>
          </w:p>
        </w:tc>
        <w:tc>
          <w:tcPr>
            <w:tcW w:w="2314"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00万元计20分，达不到不计分，每超</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00万元加1分，加分最多不超过5分。</w:t>
            </w:r>
          </w:p>
        </w:tc>
        <w:tc>
          <w:tcPr>
            <w:tcW w:w="1886"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00万元计20分，达不到不计分，每超100万元加1分，加分最多不超过5分。</w:t>
            </w:r>
          </w:p>
        </w:tc>
        <w:tc>
          <w:tcPr>
            <w:tcW w:w="2507" w:type="dxa"/>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达到500万元计20分，每少100万元扣2分，每超100万元加1分，加分最多不超过5分。</w:t>
            </w:r>
          </w:p>
        </w:tc>
        <w:tc>
          <w:tcPr>
            <w:tcW w:w="2850" w:type="dxa"/>
            <w:gridSpan w:val="3"/>
            <w:tcBorders>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00万元</w:t>
            </w:r>
            <w:r>
              <w:rPr>
                <w:rFonts w:hint="eastAsia" w:asciiTheme="minorEastAsia" w:hAnsiTheme="minorEastAsia" w:eastAsiaTheme="minorEastAsia" w:cstheme="minorEastAsia"/>
                <w:sz w:val="24"/>
                <w:szCs w:val="24"/>
                <w:lang w:eastAsia="zh-CN"/>
              </w:rPr>
              <w:t>（动物诊疗机构</w:t>
            </w:r>
            <w:r>
              <w:rPr>
                <w:rFonts w:hint="eastAsia" w:asciiTheme="minorEastAsia" w:hAnsiTheme="minorEastAsia" w:eastAsiaTheme="minorEastAsia" w:cstheme="minorEastAsia"/>
                <w:sz w:val="24"/>
                <w:szCs w:val="24"/>
                <w:lang w:val="en-US" w:eastAsia="zh-CN"/>
              </w:rPr>
              <w:t>200万元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计20分，达不到的不计分，每超1500万元加1分，加分最多不超过5分。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2"/>
          <w:wAfter w:w="400" w:type="dxa"/>
          <w:trHeight w:val="1434" w:hRule="exact"/>
          <w:jc w:val="center"/>
        </w:trPr>
        <w:tc>
          <w:tcPr>
            <w:tcW w:w="2336" w:type="dxa"/>
            <w:gridSpan w:val="2"/>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三、企</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业信用</w:t>
            </w:r>
          </w:p>
          <w:p>
            <w:pPr>
              <w:jc w:val="center"/>
              <w:rPr>
                <w:rFonts w:hint="eastAsia" w:asciiTheme="minorEastAsia" w:hAnsiTheme="minorEastAsia" w:eastAsiaTheme="minorEastAsia" w:cstheme="minorEastAsia"/>
                <w:sz w:val="24"/>
                <w:szCs w:val="24"/>
              </w:rPr>
            </w:pPr>
          </w:p>
        </w:tc>
        <w:tc>
          <w:tcPr>
            <w:tcW w:w="150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1.纳税情况</w:t>
            </w:r>
          </w:p>
        </w:tc>
        <w:tc>
          <w:tcPr>
            <w:tcW w:w="12427" w:type="dxa"/>
            <w:gridSpan w:val="6"/>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企业审核年度依法纳税的计5分，</w:t>
            </w:r>
            <w:r>
              <w:rPr>
                <w:rFonts w:hint="eastAsia" w:asciiTheme="minorEastAsia" w:hAnsiTheme="minorEastAsia" w:eastAsiaTheme="minorEastAsia" w:cstheme="minorEastAsia"/>
                <w:sz w:val="24"/>
                <w:szCs w:val="24"/>
                <w:lang w:eastAsia="zh-CN"/>
              </w:rPr>
              <w:t>存在税务处罚或</w:t>
            </w:r>
            <w:r>
              <w:rPr>
                <w:rFonts w:hint="eastAsia" w:asciiTheme="minorEastAsia" w:hAnsiTheme="minorEastAsia" w:eastAsiaTheme="minorEastAsia" w:cstheme="minorEastAsia"/>
                <w:sz w:val="24"/>
                <w:szCs w:val="24"/>
              </w:rPr>
              <w:t>欠税</w:t>
            </w:r>
            <w:r>
              <w:rPr>
                <w:rFonts w:hint="eastAsia" w:asciiTheme="minorEastAsia" w:hAnsiTheme="minorEastAsia" w:eastAsiaTheme="minorEastAsia" w:cstheme="minorEastAsia"/>
                <w:sz w:val="24"/>
                <w:szCs w:val="24"/>
                <w:lang w:eastAsia="zh-CN"/>
              </w:rPr>
              <w:t>情况</w:t>
            </w:r>
            <w:r>
              <w:rPr>
                <w:rFonts w:hint="eastAsia" w:asciiTheme="minorEastAsia" w:hAnsiTheme="minorEastAsia" w:eastAsiaTheme="minorEastAsia" w:cstheme="minorEastAsia"/>
                <w:sz w:val="24"/>
                <w:szCs w:val="24"/>
              </w:rPr>
              <w:t>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2"/>
          <w:wAfter w:w="400" w:type="dxa"/>
          <w:trHeight w:val="1705" w:hRule="exact"/>
          <w:jc w:val="center"/>
        </w:trPr>
        <w:tc>
          <w:tcPr>
            <w:tcW w:w="2336" w:type="dxa"/>
            <w:gridSpan w:val="2"/>
            <w:vMerge w:val="continue"/>
            <w:vAlign w:val="center"/>
          </w:tcPr>
          <w:p>
            <w:pPr>
              <w:rPr>
                <w:rFonts w:hint="eastAsia" w:asciiTheme="minorEastAsia" w:hAnsiTheme="minorEastAsia" w:eastAsiaTheme="minorEastAsia" w:cstheme="minorEastAsia"/>
                <w:sz w:val="24"/>
                <w:szCs w:val="24"/>
              </w:rPr>
            </w:pPr>
          </w:p>
        </w:tc>
        <w:tc>
          <w:tcPr>
            <w:tcW w:w="150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劳动用工</w:t>
            </w:r>
            <w:r>
              <w:rPr>
                <w:rFonts w:hint="eastAsia" w:asciiTheme="minorEastAsia" w:hAnsiTheme="minorEastAsia" w:eastAsiaTheme="minorEastAsia" w:cstheme="minorEastAsia"/>
                <w:sz w:val="24"/>
                <w:szCs w:val="24"/>
              </w:rPr>
              <w:t>情况</w:t>
            </w:r>
          </w:p>
        </w:tc>
        <w:tc>
          <w:tcPr>
            <w:tcW w:w="12427" w:type="dxa"/>
            <w:gridSpan w:val="6"/>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审核年度没有违反劳动保障法律、法规和规章收到行政处罚的计</w:t>
            </w:r>
            <w:r>
              <w:rPr>
                <w:rFonts w:hint="eastAsia" w:asciiTheme="minorEastAsia" w:hAnsiTheme="minorEastAsia" w:eastAsiaTheme="minorEastAsia" w:cstheme="minorEastAsia"/>
                <w:sz w:val="24"/>
                <w:szCs w:val="24"/>
                <w:lang w:val="en-US" w:eastAsia="zh-CN"/>
              </w:rPr>
              <w:t>5分，</w:t>
            </w:r>
            <w:r>
              <w:rPr>
                <w:rFonts w:hint="eastAsia" w:asciiTheme="minorEastAsia" w:hAnsiTheme="minorEastAsia" w:eastAsiaTheme="minorEastAsia" w:cstheme="minorEastAsia"/>
                <w:sz w:val="24"/>
                <w:szCs w:val="24"/>
                <w:lang w:eastAsia="zh-CN"/>
              </w:rPr>
              <w:t>受到相关行政处罚</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倒</w:t>
            </w:r>
            <w:r>
              <w:rPr>
                <w:rFonts w:hint="eastAsia" w:asciiTheme="minorEastAsia" w:hAnsiTheme="minorEastAsia" w:eastAsiaTheme="minorEastAsia" w:cstheme="minorEastAsia"/>
                <w:sz w:val="24"/>
                <w:szCs w:val="24"/>
              </w:rPr>
              <w:t>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2"/>
          <w:wAfter w:w="400" w:type="dxa"/>
          <w:trHeight w:val="1708" w:hRule="exact"/>
          <w:jc w:val="center"/>
        </w:trPr>
        <w:tc>
          <w:tcPr>
            <w:tcW w:w="2336" w:type="dxa"/>
            <w:gridSpan w:val="2"/>
            <w:vMerge w:val="continue"/>
            <w:vAlign w:val="center"/>
          </w:tcPr>
          <w:p>
            <w:pPr>
              <w:rPr>
                <w:rFonts w:hint="eastAsia" w:asciiTheme="minorEastAsia" w:hAnsiTheme="minorEastAsia" w:eastAsiaTheme="minorEastAsia" w:cstheme="minorEastAsia"/>
                <w:sz w:val="24"/>
                <w:szCs w:val="24"/>
              </w:rPr>
            </w:pPr>
          </w:p>
        </w:tc>
        <w:tc>
          <w:tcPr>
            <w:tcW w:w="1508"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3.银行信用</w:t>
            </w:r>
          </w:p>
        </w:tc>
        <w:tc>
          <w:tcPr>
            <w:tcW w:w="12427" w:type="dxa"/>
            <w:gridSpan w:val="6"/>
            <w:tcBorders>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企业开户银行出具企业在日常经济往来中守法、诚信、运行正常证明的计5分，未能提供证明的、在金融机构中有不良信用记录的倒扣2分。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2"/>
          <w:wAfter w:w="400" w:type="dxa"/>
          <w:trHeight w:val="1872" w:hRule="exact"/>
          <w:jc w:val="center"/>
        </w:trPr>
        <w:tc>
          <w:tcPr>
            <w:tcW w:w="3844" w:type="dxa"/>
            <w:gridSpan w:val="3"/>
            <w:vAlign w:val="center"/>
          </w:tcPr>
          <w:p>
            <w:pPr>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四、带动力 </w:t>
            </w:r>
          </w:p>
        </w:tc>
        <w:tc>
          <w:tcPr>
            <w:tcW w:w="12427" w:type="dxa"/>
            <w:gridSpan w:val="6"/>
            <w:tcBorders>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紧密型带动农户20户</w:t>
            </w:r>
            <w:r>
              <w:rPr>
                <w:rFonts w:hint="eastAsia" w:asciiTheme="minorEastAsia" w:hAnsiTheme="minorEastAsia" w:eastAsiaTheme="minorEastAsia" w:cstheme="minorEastAsia"/>
                <w:sz w:val="24"/>
                <w:szCs w:val="24"/>
                <w:lang w:eastAsia="zh-CN"/>
              </w:rPr>
              <w:t>（含农民合作社和家庭农场）</w:t>
            </w:r>
            <w:r>
              <w:rPr>
                <w:rFonts w:hint="eastAsia" w:asciiTheme="minorEastAsia" w:hAnsiTheme="minorEastAsia" w:eastAsiaTheme="minorEastAsia" w:cstheme="minorEastAsia"/>
                <w:sz w:val="24"/>
                <w:szCs w:val="24"/>
              </w:rPr>
              <w:t>或松散型带动农户100户的计10分，达不到的计0分。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313" w:type="dxa"/>
          <w:trHeight w:val="5980" w:hRule="exact"/>
          <w:jc w:val="center"/>
        </w:trPr>
        <w:tc>
          <w:tcPr>
            <w:tcW w:w="3844" w:type="dxa"/>
            <w:gridSpan w:val="3"/>
            <w:vAlign w:val="center"/>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五、竞争力 </w:t>
            </w:r>
          </w:p>
        </w:tc>
        <w:tc>
          <w:tcPr>
            <w:tcW w:w="12514" w:type="dxa"/>
            <w:gridSpan w:val="7"/>
            <w:tcBorders>
              <w:right w:val="single" w:color="auto" w:sz="4" w:space="0"/>
            </w:tcBorders>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符合以下条件的增计分数，最多增计</w:t>
            </w:r>
            <w:r>
              <w:rPr>
                <w:rFonts w:hint="eastAsia" w:asciiTheme="minorEastAsia" w:hAnsiTheme="minorEastAsia" w:eastAsiaTheme="minorEastAsia" w:cstheme="minorEastAsia"/>
                <w:sz w:val="24"/>
                <w:szCs w:val="24"/>
                <w:lang w:val="en-US" w:eastAsia="zh-CN"/>
              </w:rPr>
              <w:t>25分：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1.企业生产基地被列为粤港澳大湾区“菜篮子”生产基地的计10分。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获</w:t>
            </w:r>
            <w:r>
              <w:rPr>
                <w:rFonts w:hint="eastAsia" w:asciiTheme="minorEastAsia" w:hAnsiTheme="minorEastAsia" w:eastAsiaTheme="minorEastAsia" w:cstheme="minorEastAsia"/>
                <w:sz w:val="24"/>
                <w:szCs w:val="24"/>
              </w:rPr>
              <w:t>名牌产品证书、著（驰）名商标证书、有机食品证书、绿色食品证书、无公害证书、农产品原产地证明</w:t>
            </w:r>
            <w:r>
              <w:rPr>
                <w:rFonts w:hint="eastAsia" w:asciiTheme="minorEastAsia" w:hAnsiTheme="minorEastAsia" w:eastAsiaTheme="minorEastAsia" w:cstheme="minorEastAsia"/>
                <w:sz w:val="24"/>
                <w:szCs w:val="24"/>
                <w:lang w:eastAsia="zh-CN"/>
              </w:rPr>
              <w:t>、地理标志产品证书</w:t>
            </w:r>
            <w:r>
              <w:rPr>
                <w:rFonts w:hint="eastAsia" w:asciiTheme="minorEastAsia" w:hAnsiTheme="minorEastAsia" w:eastAsiaTheme="minorEastAsia" w:cstheme="minorEastAsia"/>
                <w:sz w:val="24"/>
                <w:szCs w:val="24"/>
              </w:rPr>
              <w:t>其中一项的计</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 xml:space="preserve">  </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获育繁推一体化企业、中国种业骨干企业、种业行业评价A级信用企业、市级良种场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农作物种子经营（生产经营）许可证其中1项的计</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4.被</w:t>
            </w:r>
            <w:r>
              <w:rPr>
                <w:rFonts w:hint="eastAsia" w:asciiTheme="minorEastAsia" w:hAnsiTheme="minorEastAsia" w:eastAsiaTheme="minorEastAsia" w:cstheme="minorEastAsia"/>
                <w:sz w:val="24"/>
                <w:szCs w:val="24"/>
              </w:rPr>
              <w:t>认定（或评定）为市级以上（含市级）种业类平台型企业的计1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5.获市级以上休闲农业示范点、观光休闲农业示范园荣誉称号其中一项的计5分。</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拥有植物新品种权的、商品代的产值500万以上的、占该类种子全省市场份额1%以上的，有其中1项的计5分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获市级及以上农业科技成果奖、科技推广奖、高新技术企业资格其中一项的计</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能够按照或高于国家标准、行业标准、地方标准进行生产的计</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9.农产品加工企业有符合国家环保标准、食品加工卫生标准的加工基地或生产设施，达到其中一项计5分。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10.有符合国家环保要求的交易场地或农产品运输（贮藏）设施的，达到一项计5分。</w:t>
            </w:r>
          </w:p>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总资产报酬率不低于金融机构一年期银行贷款基准利率的计</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12.有发明专利证书、商标注册证书其中一项的计3分。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13.有企业管理制度和财务制度、通过企业管理体系认证、通过职业安全与卫生管理体系认证，有其中一项的计5分。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14.被评为环保诚信企业或环保良好企业、守合同重信用企业称号其中一项的计5分。</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15.近三年企业农林牧渔业平均年产值达到500万元的计5分。</w:t>
            </w:r>
          </w:p>
          <w:p>
            <w:pPr>
              <w:jc w:val="both"/>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val="en-US" w:eastAsia="zh-CN"/>
        </w:rPr>
        <w:t>1.本办法的审核年度指从当年开展区级农业龙头企业认定通知印发之日起上溯一年计算。</w:t>
      </w:r>
    </w:p>
    <w:p>
      <w:pPr>
        <w:ind w:left="930" w:leftChars="0" w:hanging="93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办法</w:t>
      </w:r>
      <w:r>
        <w:rPr>
          <w:rFonts w:hint="eastAsia" w:asciiTheme="minorEastAsia" w:hAnsiTheme="minorEastAsia" w:eastAsiaTheme="minorEastAsia" w:cstheme="minorEastAsia"/>
          <w:sz w:val="24"/>
          <w:szCs w:val="24"/>
        </w:rPr>
        <w:t>所指的紧密型带动农户，指吸收就业、订单收购、租用农地、租用农房等形式带动农户，以订单、合同、工资发放的会计凭证为准；松散型带动农户指收购农产品、开展技术培训、提供技术服务、提供经营场地、产品或服务辐射等，以合同、会计凭证、培训记录、台账等为准。紧密型带动农户数与松散型带动农户数可以按1:5折算，达到一项或折算后总和达到其中一项即可。</w:t>
      </w:r>
    </w:p>
    <w:p>
      <w:pPr>
        <w:rPr>
          <w:rFonts w:hint="eastAsia" w:asciiTheme="minorEastAsia" w:hAnsiTheme="minorEastAsia" w:eastAsiaTheme="minorEastAsia" w:cstheme="minorEastAsia"/>
          <w:sz w:val="24"/>
          <w:szCs w:val="24"/>
        </w:rPr>
      </w:pPr>
    </w:p>
    <w:sectPr>
      <w:pgSz w:w="16838" w:h="11906" w:orient="landscape"/>
      <w:pgMar w:top="1134" w:right="1440" w:bottom="1134" w:left="1440" w:header="851" w:footer="992" w:gutter="0"/>
      <w:pgNumType w:fmt="numberInDash"/>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56F9"/>
    <w:rsid w:val="4A8356F9"/>
    <w:rsid w:val="52C46F0F"/>
    <w:rsid w:val="5B9C015C"/>
    <w:rsid w:val="6BA6645A"/>
    <w:rsid w:val="6E9232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5">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2020-11-09T07:08:00Z</dcterms:created>
  <dc:creator>liangshan</dc:creator>
  <cp:lastModifiedBy>liangshan</cp:lastModifiedBy>
  <dcterms:modified xsi:type="dcterms:W3CDTF">2020-11-10T07:05:28Z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