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bidi="ar"/>
        </w:rPr>
      </w:pPr>
      <w:bookmarkStart w:id="0" w:name="_Toc807897332"/>
      <w:r>
        <w:rPr>
          <w:rFonts w:hint="eastAsia" w:ascii="方正小标宋_GBK" w:hAnsi="方正小标宋_GBK" w:eastAsia="方正小标宋_GBK" w:cs="方正小标宋_GBK"/>
          <w:b w:val="0"/>
          <w:bCs w:val="0"/>
          <w:color w:val="auto"/>
          <w:sz w:val="44"/>
          <w:szCs w:val="44"/>
          <w:highlight w:val="none"/>
          <w:lang w:val="en-US" w:eastAsia="zh-CN" w:bidi="ar"/>
        </w:rPr>
        <w:t>重点产业人才支持行动操作规程</w:t>
      </w:r>
      <w:bookmarkEnd w:id="0"/>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val="0"/>
          <w:bCs w:val="0"/>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bookmarkStart w:id="1" w:name="_Toc1203804067"/>
      <w:r>
        <w:rPr>
          <w:rFonts w:hint="eastAsia" w:ascii="黑体" w:hAnsi="黑体" w:eastAsia="黑体" w:cs="黑体"/>
          <w:b w:val="0"/>
          <w:bCs w:val="0"/>
          <w:color w:val="auto"/>
          <w:sz w:val="32"/>
          <w:szCs w:val="32"/>
          <w:highlight w:val="none"/>
          <w:lang w:val="en-US" w:eastAsia="zh-CN"/>
        </w:rPr>
        <w:t>一、政策内容</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对人工智能、机器人等重点产业领域初创企业的优秀青年骨干人才，符合条件的给予每人最高60万元奖励支持。</w:t>
      </w:r>
    </w:p>
    <w:p>
      <w:pPr>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黑体" w:hAnsi="黑体" w:eastAsia="黑体" w:cs="黑体"/>
          <w:b/>
          <w:bCs w:val="0"/>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二、申报对象和条件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auto"/>
          <w:lang w:eastAsia="zh-CN"/>
        </w:rPr>
      </w:pPr>
      <w:r>
        <w:rPr>
          <w:rFonts w:hint="eastAsia" w:ascii="楷体_GB2312" w:hAnsi="楷体_GB2312" w:eastAsia="楷体_GB2312" w:cs="楷体_GB2312"/>
          <w:b w:val="0"/>
          <w:bCs w:val="0"/>
          <w:color w:val="auto"/>
          <w:kern w:val="0"/>
          <w:sz w:val="32"/>
          <w:szCs w:val="32"/>
          <w:highlight w:val="none"/>
          <w:lang w:eastAsia="zh-CN" w:bidi="ar-SA"/>
        </w:rPr>
        <w:t>（一）企业申报条件：</w:t>
      </w:r>
      <w:r>
        <w:rPr>
          <w:rFonts w:hint="eastAsia" w:ascii="仿宋_GB2312" w:hAnsi="仿宋_GB2312" w:eastAsia="仿宋_GB2312" w:cs="仿宋_GB2312"/>
          <w:color w:val="auto"/>
          <w:sz w:val="32"/>
          <w:szCs w:val="32"/>
          <w:highlight w:val="none"/>
          <w:shd w:val="clear" w:color="auto" w:fill="auto"/>
          <w:lang w:val="en-US" w:eastAsia="zh-CN"/>
        </w:rPr>
        <w:t>成立5年以内，</w:t>
      </w:r>
      <w:r>
        <w:rPr>
          <w:rFonts w:hint="eastAsia" w:ascii="仿宋_GB2312" w:eastAsia="仿宋_GB2312"/>
          <w:color w:val="auto"/>
          <w:sz w:val="32"/>
          <w:szCs w:val="32"/>
          <w:highlight w:val="none"/>
          <w:lang w:eastAsia="zh-CN"/>
        </w:rPr>
        <w:t>在南山区依法经营</w:t>
      </w:r>
      <w:r>
        <w:rPr>
          <w:rFonts w:hint="eastAsia" w:ascii="仿宋_GB2312" w:hAnsi="仿宋_GB2312" w:eastAsia="仿宋_GB2312" w:cs="仿宋_GB2312"/>
          <w:color w:val="auto"/>
          <w:kern w:val="0"/>
          <w:sz w:val="32"/>
          <w:szCs w:val="32"/>
          <w:highlight w:val="none"/>
          <w:shd w:val="clear" w:color="auto" w:fill="auto"/>
          <w:lang w:eastAsia="zh-CN"/>
        </w:rPr>
        <w:t>的</w:t>
      </w:r>
      <w:r>
        <w:rPr>
          <w:rFonts w:hint="eastAsia" w:ascii="仿宋_GB2312" w:hAnsi="仿宋_GB2312" w:eastAsia="仿宋_GB2312" w:cs="仿宋_GB2312"/>
          <w:color w:val="auto"/>
          <w:kern w:val="0"/>
          <w:sz w:val="32"/>
          <w:szCs w:val="32"/>
          <w:highlight w:val="none"/>
          <w:shd w:val="clear" w:color="auto" w:fill="auto"/>
          <w:lang w:val="en-US" w:eastAsia="zh-CN"/>
        </w:rPr>
        <w:t>人工智能、机器人产业链相关研发、制造等领域优秀</w:t>
      </w:r>
      <w:r>
        <w:rPr>
          <w:rFonts w:hint="eastAsia" w:ascii="仿宋_GB2312" w:hAnsi="仿宋_GB2312" w:eastAsia="仿宋_GB2312" w:cs="仿宋_GB2312"/>
          <w:color w:val="auto"/>
          <w:kern w:val="0"/>
          <w:sz w:val="32"/>
          <w:szCs w:val="32"/>
          <w:highlight w:val="none"/>
          <w:shd w:val="clear" w:color="auto" w:fill="auto"/>
          <w:lang w:eastAsia="zh-CN"/>
        </w:rPr>
        <w:t>企业。其中，人工智能企业包括：</w:t>
      </w:r>
      <w:r>
        <w:rPr>
          <w:rFonts w:hint="eastAsia" w:ascii="仿宋_GB2312" w:hAnsi="仿宋_GB2312" w:eastAsia="仿宋_GB2312" w:cs="仿宋_GB2312"/>
          <w:color w:val="auto"/>
          <w:kern w:val="0"/>
          <w:sz w:val="32"/>
          <w:szCs w:val="32"/>
          <w:highlight w:val="none"/>
          <w:shd w:val="clear" w:color="auto" w:fill="auto"/>
          <w:lang w:val="en-US" w:eastAsia="zh-CN" w:bidi="ar"/>
        </w:rPr>
        <w:t>机器学习、自然语言处理、计算机视觉等人工智能技术研发应用，边缘计算与AI芯片研发等领域。</w:t>
      </w:r>
      <w:r>
        <w:rPr>
          <w:rFonts w:hint="eastAsia" w:ascii="仿宋_GB2312" w:hAnsi="仿宋_GB2312" w:eastAsia="仿宋_GB2312" w:cs="仿宋_GB2312"/>
          <w:color w:val="auto"/>
          <w:kern w:val="0"/>
          <w:sz w:val="32"/>
          <w:szCs w:val="32"/>
          <w:highlight w:val="none"/>
          <w:shd w:val="clear" w:color="auto" w:fill="auto"/>
          <w:lang w:val="en-US" w:eastAsia="zh-CN"/>
        </w:rPr>
        <w:t>人工智能、机器人产业</w:t>
      </w:r>
      <w:r>
        <w:rPr>
          <w:rFonts w:hint="eastAsia" w:ascii="仿宋_GB2312" w:hAnsi="仿宋_GB2312" w:eastAsia="仿宋_GB2312" w:cs="仿宋_GB2312"/>
          <w:color w:val="auto"/>
          <w:kern w:val="0"/>
          <w:sz w:val="32"/>
          <w:szCs w:val="32"/>
          <w:highlight w:val="none"/>
          <w:shd w:val="clear" w:color="auto" w:fill="auto"/>
          <w:lang w:val="en-US" w:eastAsia="zh-CN" w:bidi="ar"/>
        </w:rPr>
        <w:t>申报企业同时需</w:t>
      </w:r>
      <w:r>
        <w:rPr>
          <w:rFonts w:hint="eastAsia" w:ascii="仿宋_GB2312" w:hAnsi="仿宋_GB2312" w:eastAsia="仿宋_GB2312" w:cs="仿宋_GB2312"/>
          <w:b w:val="0"/>
          <w:bCs/>
          <w:color w:val="auto"/>
          <w:kern w:val="0"/>
          <w:sz w:val="32"/>
          <w:szCs w:val="32"/>
          <w:highlight w:val="none"/>
          <w:shd w:val="clear" w:color="auto" w:fill="auto"/>
        </w:rPr>
        <w:t>符合</w:t>
      </w:r>
      <w:r>
        <w:rPr>
          <w:rFonts w:hint="eastAsia" w:ascii="仿宋_GB2312" w:hAnsi="仿宋_GB2312" w:eastAsia="仿宋_GB2312" w:cs="仿宋_GB2312"/>
          <w:b w:val="0"/>
          <w:bCs/>
          <w:color w:val="auto"/>
          <w:kern w:val="0"/>
          <w:sz w:val="32"/>
          <w:szCs w:val="32"/>
          <w:highlight w:val="none"/>
          <w:shd w:val="clear" w:color="auto" w:fill="auto"/>
          <w:lang w:eastAsia="zh-CN"/>
        </w:rPr>
        <w:t>以下</w:t>
      </w:r>
      <w:r>
        <w:rPr>
          <w:rFonts w:hint="eastAsia" w:ascii="仿宋_GB2312" w:hAnsi="仿宋_GB2312" w:eastAsia="仿宋_GB2312" w:cs="仿宋_GB2312"/>
          <w:b w:val="0"/>
          <w:bCs/>
          <w:color w:val="auto"/>
          <w:kern w:val="0"/>
          <w:sz w:val="32"/>
          <w:szCs w:val="32"/>
          <w:highlight w:val="none"/>
          <w:shd w:val="clear" w:color="auto" w:fill="auto"/>
        </w:rPr>
        <w:t>标准</w:t>
      </w:r>
      <w:r>
        <w:rPr>
          <w:rFonts w:hint="eastAsia" w:ascii="仿宋_GB2312" w:hAnsi="仿宋_GB2312" w:eastAsia="仿宋_GB2312" w:cs="仿宋_GB2312"/>
          <w:b w:val="0"/>
          <w:bCs/>
          <w:color w:val="auto"/>
          <w:kern w:val="0"/>
          <w:sz w:val="32"/>
          <w:szCs w:val="32"/>
          <w:highlight w:val="none"/>
          <w:shd w:val="clear" w:color="auto" w:fill="auto"/>
          <w:lang w:eastAsia="zh-CN"/>
        </w:rPr>
        <w:t>之一</w:t>
      </w:r>
      <w:r>
        <w:rPr>
          <w:rFonts w:hint="eastAsia" w:ascii="仿宋_GB2312" w:hAnsi="仿宋_GB2312" w:eastAsia="仿宋_GB2312" w:cs="仿宋_GB2312"/>
          <w:color w:val="auto"/>
          <w:kern w:val="0"/>
          <w:sz w:val="32"/>
          <w:szCs w:val="32"/>
          <w:highlight w:val="none"/>
          <w:shd w:val="clear" w:color="auto" w:fill="auto"/>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eastAsia="zh-CN"/>
        </w:rPr>
        <w:t>1.</w:t>
      </w:r>
      <w:r>
        <w:rPr>
          <w:rFonts w:hint="eastAsia" w:ascii="仿宋_GB2312" w:hAnsi="仿宋_GB2312" w:eastAsia="仿宋_GB2312" w:cs="仿宋_GB2312"/>
          <w:color w:val="auto"/>
          <w:sz w:val="32"/>
          <w:szCs w:val="32"/>
          <w:highlight w:val="none"/>
          <w:shd w:val="clear" w:color="auto" w:fill="auto"/>
          <w:lang w:val="en-US" w:eastAsia="zh-CN"/>
        </w:rPr>
        <w:t>经人才主管部门认定的海内外高层次人才（团队）创办的人工智能、机器人产业链企业；</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eastAsia="zh-CN"/>
        </w:rPr>
        <w:t>2.</w:t>
      </w:r>
      <w:r>
        <w:rPr>
          <w:rFonts w:hint="eastAsia" w:ascii="仿宋_GB2312" w:hAnsi="仿宋_GB2312" w:eastAsia="仿宋_GB2312" w:cs="仿宋_GB2312"/>
          <w:color w:val="auto"/>
          <w:sz w:val="32"/>
          <w:szCs w:val="32"/>
          <w:highlight w:val="none"/>
          <w:shd w:val="clear" w:color="auto" w:fill="auto"/>
          <w:lang w:val="en-US" w:eastAsia="zh-CN"/>
        </w:rPr>
        <w:t>深圳模力营AI生态社区入驻或已毕业企业；</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eastAsia="zh-CN"/>
        </w:rPr>
        <w:t>3.</w:t>
      </w:r>
      <w:r>
        <w:rPr>
          <w:rFonts w:hint="eastAsia" w:ascii="仿宋_GB2312" w:hAnsi="仿宋_GB2312" w:eastAsia="仿宋_GB2312" w:cs="仿宋_GB2312"/>
          <w:b w:val="0"/>
          <w:bCs w:val="0"/>
          <w:color w:val="auto"/>
          <w:kern w:val="0"/>
          <w:sz w:val="32"/>
          <w:szCs w:val="32"/>
          <w:highlight w:val="none"/>
          <w:shd w:val="clear" w:color="auto" w:fill="auto"/>
          <w:lang w:val="en-US" w:eastAsia="zh-CN"/>
        </w:rPr>
        <w:t>获得</w:t>
      </w:r>
      <w:r>
        <w:rPr>
          <w:rFonts w:hint="eastAsia" w:ascii="仿宋_GB2312" w:hAnsi="仿宋_GB2312" w:eastAsia="仿宋_GB2312" w:cs="仿宋_GB2312"/>
          <w:color w:val="auto"/>
          <w:sz w:val="32"/>
          <w:szCs w:val="32"/>
          <w:highlight w:val="none"/>
          <w:shd w:val="clear" w:color="auto" w:fill="auto"/>
          <w:lang w:eastAsia="zh-CN"/>
        </w:rPr>
        <w:t>国家互联网信息办公室生成式人工智能服务备案或深度合成服务算法备案的</w:t>
      </w:r>
      <w:r>
        <w:rPr>
          <w:rFonts w:hint="eastAsia" w:ascii="仿宋_GB2312" w:hAnsi="仿宋_GB2312" w:eastAsia="仿宋_GB2312" w:cs="仿宋_GB2312"/>
          <w:b w:val="0"/>
          <w:bCs w:val="0"/>
          <w:color w:val="auto"/>
          <w:kern w:val="0"/>
          <w:sz w:val="32"/>
          <w:szCs w:val="32"/>
          <w:highlight w:val="none"/>
          <w:shd w:val="clear" w:color="auto" w:fill="auto"/>
          <w:lang w:val="en-US" w:eastAsia="zh-CN"/>
        </w:rPr>
        <w:t>企业；</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eastAsia="zh-CN"/>
        </w:rPr>
        <w:t>4.</w:t>
      </w:r>
      <w:r>
        <w:rPr>
          <w:rFonts w:hint="eastAsia" w:ascii="仿宋_GB2312" w:hAnsi="仿宋_GB2312" w:eastAsia="仿宋_GB2312" w:cs="仿宋_GB2312"/>
          <w:b w:val="0"/>
          <w:color w:val="auto"/>
          <w:sz w:val="32"/>
          <w:szCs w:val="32"/>
          <w:highlight w:val="none"/>
          <w:lang w:val="en-US" w:eastAsia="zh-CN"/>
        </w:rPr>
        <w:t>获得国家级、省部或市级人工智能、机器人相关奖项的企业；</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color w:val="auto"/>
          <w:sz w:val="32"/>
          <w:szCs w:val="32"/>
          <w:highlight w:val="none"/>
          <w:lang w:val="en-US" w:eastAsia="zh-CN"/>
        </w:rPr>
      </w:pPr>
      <w:r>
        <w:rPr>
          <w:rFonts w:hint="default" w:ascii="仿宋_GB2312" w:hAnsi="仿宋_GB2312" w:eastAsia="仿宋_GB2312" w:cs="仿宋_GB2312"/>
          <w:color w:val="auto"/>
          <w:sz w:val="32"/>
          <w:szCs w:val="32"/>
          <w:highlight w:val="none"/>
          <w:shd w:val="clear" w:color="auto" w:fill="auto"/>
          <w:lang w:eastAsia="zh-CN"/>
        </w:rPr>
        <w:t>5.</w:t>
      </w:r>
      <w:r>
        <w:rPr>
          <w:rFonts w:hint="eastAsia" w:ascii="仿宋_GB2312" w:hAnsi="仿宋_GB2312" w:eastAsia="仿宋_GB2312" w:cs="仿宋_GB2312"/>
          <w:b w:val="0"/>
          <w:color w:val="auto"/>
          <w:sz w:val="32"/>
          <w:szCs w:val="32"/>
          <w:highlight w:val="none"/>
          <w:lang w:val="en-US" w:eastAsia="zh-CN"/>
        </w:rPr>
        <w:t>承担国家或地方重大人工智能、机器人科技项目的企业；</w:t>
      </w:r>
    </w:p>
    <w:p>
      <w:pPr>
        <w:pStyle w:val="5"/>
        <w:keepNext w:val="0"/>
        <w:keepLines w:val="0"/>
        <w:spacing w:after="0" w:line="560" w:lineRule="exact"/>
        <w:ind w:firstLine="640" w:firstLineChars="200"/>
        <w:textAlignment w:val="auto"/>
        <w:rPr>
          <w:rFonts w:hint="eastAsia"/>
          <w:color w:val="auto"/>
          <w:highlight w:val="none"/>
          <w:lang w:val="en-US" w:eastAsia="zh-CN"/>
        </w:rPr>
      </w:pPr>
      <w:r>
        <w:rPr>
          <w:rFonts w:hint="default" w:ascii="仿宋_GB2312" w:hAnsi="仿宋_GB2312"/>
          <w:color w:val="auto"/>
          <w:highlight w:val="none"/>
          <w:lang w:eastAsia="zh-CN"/>
        </w:rPr>
        <w:t>6.</w:t>
      </w:r>
      <w:r>
        <w:rPr>
          <w:rFonts w:hint="eastAsia" w:ascii="仿宋_GB2312" w:hAnsi="仿宋_GB2312"/>
          <w:color w:val="auto"/>
          <w:highlight w:val="none"/>
          <w:lang w:val="en-US" w:eastAsia="zh-CN"/>
        </w:rPr>
        <w:t>近2年获得股权融资5000万元以上的企业；</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仿宋_GB2312" w:hAnsi="仿宋_GB2312" w:eastAsia="仿宋_GB2312" w:cs="仿宋_GB2312"/>
          <w:b w:val="0"/>
          <w:color w:val="auto"/>
          <w:sz w:val="32"/>
          <w:szCs w:val="32"/>
          <w:highlight w:val="none"/>
          <w:lang w:val="en-US" w:eastAsia="zh-CN"/>
        </w:rPr>
        <w:t>经区产业主管部门认定的在人工智能、具身智能机器人领域具有显著技术突破或市场潜力的企业，不受上述申报条件限制。</w:t>
      </w:r>
    </w:p>
    <w:p>
      <w:pPr>
        <w:pStyle w:val="3"/>
        <w:keepNext/>
        <w:keepLines/>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（二）奖励对象条件</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color w:val="auto"/>
          <w:highlight w:val="none"/>
          <w:lang w:val="en-US" w:eastAsia="zh-CN"/>
        </w:rPr>
      </w:pPr>
      <w:r>
        <w:rPr>
          <w:rFonts w:hint="eastAsia"/>
          <w:color w:val="auto"/>
          <w:highlight w:val="none"/>
          <w:lang w:val="en-US" w:eastAsia="zh-CN"/>
        </w:rPr>
        <w:t>获得奖励配额指标的企业，可以根据以下条件自主推荐奖励对象：</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auto"/>
          <w:highlight w:val="none"/>
          <w:lang w:val="en-US" w:eastAsia="zh-CN"/>
        </w:rPr>
      </w:pPr>
      <w:r>
        <w:rPr>
          <w:rFonts w:hint="default" w:ascii="仿宋_GB2312" w:hAnsi="仿宋_GB2312" w:cs="仿宋_GB2312"/>
          <w:color w:val="auto"/>
          <w:highlight w:val="none"/>
          <w:lang w:eastAsia="zh-CN"/>
        </w:rPr>
        <w:t>1.</w:t>
      </w:r>
      <w:r>
        <w:rPr>
          <w:rFonts w:hint="eastAsia" w:ascii="仿宋_GB2312" w:hAnsi="仿宋_GB2312" w:eastAsia="仿宋_GB2312" w:cs="仿宋_GB2312"/>
          <w:color w:val="auto"/>
          <w:highlight w:val="none"/>
          <w:lang w:val="en-US" w:eastAsia="zh-CN"/>
        </w:rPr>
        <w:t>奖励对象在南山区缴纳个人所得税，无严重违法行为，非严重失信主体</w:t>
      </w:r>
      <w:r>
        <w:rPr>
          <w:rFonts w:hint="eastAsia" w:ascii="仿宋_GB2312" w:hAnsi="仿宋_GB2312" w:cs="仿宋_GB2312"/>
          <w:color w:val="auto"/>
          <w:highlight w:val="none"/>
          <w:lang w:val="en-US" w:eastAsia="zh-CN"/>
        </w:rPr>
        <w:t>，年龄在</w:t>
      </w:r>
      <w:r>
        <w:rPr>
          <w:rFonts w:hint="default" w:ascii="仿宋_GB2312" w:hAnsi="仿宋_GB2312" w:cs="仿宋_GB2312"/>
          <w:color w:val="auto"/>
          <w:highlight w:val="none"/>
          <w:lang w:val="en-US" w:eastAsia="zh-CN"/>
        </w:rPr>
        <w:t>40</w:t>
      </w:r>
      <w:r>
        <w:rPr>
          <w:rFonts w:hint="eastAsia" w:ascii="仿宋_GB2312" w:hAnsi="仿宋_GB2312" w:cs="仿宋_GB2312"/>
          <w:color w:val="auto"/>
          <w:highlight w:val="none"/>
          <w:lang w:val="en-US" w:eastAsia="zh-CN"/>
        </w:rPr>
        <w:t>周岁及以下</w:t>
      </w:r>
      <w:r>
        <w:rPr>
          <w:rFonts w:hint="eastAsia"/>
          <w:color w:val="auto"/>
          <w:highlight w:val="none"/>
          <w:lang w:val="en-US" w:eastAsia="zh-CN"/>
        </w:rPr>
        <w:t>（以</w:t>
      </w:r>
      <w:r>
        <w:rPr>
          <w:rFonts w:hint="eastAsia" w:ascii="仿宋_GB2312" w:hAnsi="仿宋_GB2312" w:cs="仿宋_GB2312"/>
          <w:color w:val="auto"/>
          <w:sz w:val="32"/>
          <w:szCs w:val="32"/>
          <w:highlight w:val="none"/>
          <w:shd w:val="clear" w:color="auto" w:fill="auto"/>
          <w:lang w:val="en-US" w:eastAsia="zh-CN"/>
        </w:rPr>
        <w:t>提交申报材料</w:t>
      </w:r>
      <w:r>
        <w:rPr>
          <w:rFonts w:hint="eastAsia" w:ascii="仿宋_GB2312" w:hAnsi="仿宋_GB2312" w:eastAsia="仿宋_GB2312" w:cs="仿宋_GB2312"/>
          <w:color w:val="auto"/>
          <w:sz w:val="32"/>
          <w:szCs w:val="32"/>
          <w:highlight w:val="none"/>
          <w:shd w:val="clear" w:color="auto" w:fill="auto"/>
        </w:rPr>
        <w:t>日期</w:t>
      </w:r>
      <w:r>
        <w:rPr>
          <w:rFonts w:hint="eastAsia"/>
          <w:color w:val="auto"/>
          <w:highlight w:val="none"/>
          <w:lang w:val="en-US" w:eastAsia="zh-CN"/>
        </w:rPr>
        <w:t>为准）</w:t>
      </w:r>
      <w:r>
        <w:rPr>
          <w:rFonts w:hint="default"/>
          <w:color w:val="auto"/>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auto"/>
          <w:highlight w:val="none"/>
          <w:lang w:val="en-US" w:eastAsia="zh-CN"/>
        </w:rPr>
      </w:pPr>
      <w:r>
        <w:rPr>
          <w:rFonts w:hint="default" w:ascii="仿宋_GB2312" w:hAnsi="仿宋_GB2312" w:cs="仿宋_GB2312"/>
          <w:color w:val="auto"/>
          <w:highlight w:val="none"/>
          <w:lang w:eastAsia="zh-CN"/>
        </w:rPr>
        <w:t>2.</w:t>
      </w:r>
      <w:r>
        <w:rPr>
          <w:rFonts w:hint="eastAsia" w:ascii="仿宋_GB2312" w:hAnsi="仿宋_GB2312" w:eastAsia="仿宋_GB2312" w:cs="仿宋_GB2312"/>
          <w:color w:val="auto"/>
          <w:highlight w:val="none"/>
          <w:lang w:val="en-US" w:eastAsia="zh-CN"/>
        </w:rPr>
        <w:t>奖励对象近一年源自申报企业的工资薪金不低于30万元</w:t>
      </w:r>
      <w:r>
        <w:rPr>
          <w:rFonts w:hint="eastAsia" w:ascii="仿宋_GB2312" w:hAnsi="仿宋_GB2312"/>
          <w:color w:val="auto"/>
          <w:highlight w:val="none"/>
          <w:lang w:val="en-US" w:eastAsia="zh-CN"/>
        </w:rPr>
        <w:t>（企业创始人及合伙人除外）</w:t>
      </w:r>
      <w:r>
        <w:rPr>
          <w:rFonts w:hint="default" w:ascii="仿宋_GB2312" w:hAnsi="仿宋_GB2312"/>
          <w:color w:val="auto"/>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auto"/>
          <w:highlight w:val="none"/>
          <w:lang w:val="en-US" w:eastAsia="zh-CN"/>
        </w:rPr>
      </w:pPr>
      <w:r>
        <w:rPr>
          <w:rFonts w:hint="default" w:ascii="仿宋_GB2312" w:hAnsi="仿宋_GB2312" w:cs="仿宋_GB2312"/>
          <w:color w:val="auto"/>
          <w:highlight w:val="none"/>
          <w:lang w:eastAsia="zh-CN"/>
        </w:rPr>
        <w:t>3.</w:t>
      </w:r>
      <w:r>
        <w:rPr>
          <w:rFonts w:hint="eastAsia" w:ascii="仿宋_GB2312" w:hAnsi="仿宋_GB2312" w:eastAsia="仿宋_GB2312" w:cs="仿宋_GB2312"/>
          <w:color w:val="auto"/>
          <w:highlight w:val="none"/>
          <w:lang w:val="en-US" w:eastAsia="zh-CN"/>
        </w:rPr>
        <w:t>奖励对象应为公司核心高管及</w:t>
      </w:r>
      <w:r>
        <w:rPr>
          <w:rFonts w:hint="eastAsia" w:ascii="仿宋_GB2312" w:hAnsi="仿宋_GB2312"/>
          <w:color w:val="auto"/>
          <w:highlight w:val="none"/>
          <w:lang w:val="en-US" w:eastAsia="zh-CN"/>
        </w:rPr>
        <w:t>研发、生产岗位核心技术骨干。</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三、资助标准</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仿宋_GB2312" w:hAnsi="仿宋_GB2312" w:eastAsia="仿宋_GB2312" w:cs="仿宋_GB2312"/>
          <w:color w:val="auto"/>
          <w:kern w:val="0"/>
          <w:sz w:val="32"/>
          <w:szCs w:val="32"/>
          <w:highlight w:val="none"/>
          <w:shd w:val="clear" w:color="auto" w:fill="auto"/>
          <w:lang w:val="en-US" w:eastAsia="zh-CN"/>
        </w:rPr>
        <w:t>每家企业支持人数最高不超过其缴纳社保员工数的5%（奖励人数不足1人时，可奖励1人），最多支持5人。奖励标准按照奖励对象人才积分水平分档支持，每人最高不超过60万元。</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仿宋_GB2312" w:hAnsi="仿宋_GB2312" w:eastAsia="仿宋_GB2312" w:cs="仿宋_GB2312"/>
          <w:color w:val="auto"/>
          <w:kern w:val="0"/>
          <w:sz w:val="32"/>
          <w:szCs w:val="32"/>
          <w:highlight w:val="none"/>
          <w:shd w:val="clear" w:color="auto" w:fill="auto"/>
          <w:lang w:val="en-US" w:eastAsia="zh-CN"/>
        </w:rPr>
      </w:pPr>
    </w:p>
    <w:p>
      <w:pPr>
        <w:pStyle w:val="2"/>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jc w:val="both"/>
        <w:textAlignment w:val="auto"/>
        <w:outlineLvl w:val="0"/>
        <w:rPr>
          <w:rFonts w:hint="eastAsia" w:ascii="仿宋_GB2312" w:hAnsi="仿宋_GB2312" w:eastAsia="仿宋_GB2312" w:cs="仿宋_GB2312"/>
          <w:color w:val="auto"/>
          <w:kern w:val="0"/>
          <w:sz w:val="32"/>
          <w:szCs w:val="32"/>
          <w:highlight w:val="none"/>
          <w:shd w:val="clear" w:color="auto" w:fill="auto"/>
          <w:lang w:val="en-US" w:eastAsia="zh-CN"/>
        </w:rPr>
      </w:pPr>
    </w:p>
    <w:bookmarkEnd w:id="1"/>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表1 人才积分评测表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6222"/>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1" w:type="dxa"/>
            <w:tcBorders>
              <w:bottom w:val="single" w:color="auto" w:sz="4" w:space="0"/>
            </w:tcBorders>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cs="仿宋_GB2312"/>
                <w:b/>
                <w:bCs/>
                <w:color w:val="auto"/>
                <w:sz w:val="24"/>
                <w:szCs w:val="24"/>
                <w:highlight w:val="none"/>
                <w:vertAlign w:val="baseline"/>
                <w:lang w:val="en-US" w:eastAsia="zh-CN"/>
              </w:rPr>
              <w:t>维度</w:t>
            </w:r>
          </w:p>
        </w:tc>
        <w:tc>
          <w:tcPr>
            <w:tcW w:w="6222" w:type="dxa"/>
            <w:tcBorders>
              <w:bottom w:val="single" w:color="auto" w:sz="4" w:space="0"/>
            </w:tcBorders>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指标</w:t>
            </w:r>
          </w:p>
        </w:tc>
        <w:tc>
          <w:tcPr>
            <w:tcW w:w="1119" w:type="dxa"/>
            <w:tcBorders>
              <w:bottom w:val="single" w:color="auto" w:sz="4" w:space="0"/>
            </w:tcBorders>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1" w:type="dxa"/>
            <w:vMerge w:val="restart"/>
            <w:tcBorders>
              <w:top w:val="single" w:color="auto" w:sz="4" w:space="0"/>
              <w:bottom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知识维度</w:t>
            </w:r>
          </w:p>
        </w:tc>
        <w:tc>
          <w:tcPr>
            <w:tcW w:w="6222" w:type="dxa"/>
            <w:tcBorders>
              <w:top w:val="single" w:color="auto" w:sz="4" w:space="0"/>
              <w:bottom w:val="single" w:color="auto" w:sz="2" w:space="0"/>
            </w:tcBorders>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博士</w:t>
            </w:r>
          </w:p>
        </w:tc>
        <w:tc>
          <w:tcPr>
            <w:tcW w:w="1119" w:type="dxa"/>
            <w:tcBorders>
              <w:top w:val="single" w:color="auto" w:sz="4" w:space="0"/>
              <w:bottom w:val="single" w:color="auto" w:sz="2" w:space="0"/>
            </w:tcBorders>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1" w:type="dxa"/>
            <w:vMerge w:val="continue"/>
            <w:tcBorders>
              <w:top w:val="single" w:color="auto" w:sz="4" w:space="0"/>
              <w:bottom w:val="single" w:color="auto" w:sz="4" w:space="0"/>
              <w:right w:val="single" w:color="auto" w:sz="2"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auto"/>
                <w:sz w:val="24"/>
                <w:szCs w:val="24"/>
                <w:highlight w:val="none"/>
                <w:vertAlign w:val="baseline"/>
                <w:lang w:val="en-US" w:eastAsia="zh-CN"/>
              </w:rPr>
            </w:pPr>
          </w:p>
        </w:tc>
        <w:tc>
          <w:tcPr>
            <w:tcW w:w="6222" w:type="dxa"/>
            <w:tcBorders>
              <w:top w:val="single" w:color="auto" w:sz="2" w:space="0"/>
              <w:left w:val="single" w:color="auto" w:sz="2" w:space="0"/>
              <w:bottom w:val="single" w:color="auto" w:sz="2" w:space="0"/>
              <w:right w:val="single" w:color="auto" w:sz="2" w:space="0"/>
            </w:tcBorders>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硕士</w:t>
            </w:r>
          </w:p>
        </w:tc>
        <w:tc>
          <w:tcPr>
            <w:tcW w:w="1119" w:type="dxa"/>
            <w:tcBorders>
              <w:top w:val="single" w:color="auto" w:sz="2" w:space="0"/>
              <w:left w:val="single" w:color="auto" w:sz="2" w:space="0"/>
              <w:bottom w:val="single" w:color="auto" w:sz="2" w:space="0"/>
              <w:right w:val="single" w:color="auto" w:sz="2" w:space="0"/>
            </w:tcBorders>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trPr>
        <w:tc>
          <w:tcPr>
            <w:tcW w:w="1181" w:type="dxa"/>
            <w:vMerge w:val="continue"/>
            <w:tcBorders>
              <w:top w:val="single" w:color="auto" w:sz="4" w:space="0"/>
              <w:bottom w:val="single" w:color="auto" w:sz="4" w:space="0"/>
              <w:right w:val="single" w:color="auto" w:sz="2"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auto"/>
                <w:sz w:val="24"/>
                <w:szCs w:val="24"/>
                <w:highlight w:val="none"/>
                <w:vertAlign w:val="baseline"/>
                <w:lang w:val="en-US" w:eastAsia="zh-CN"/>
              </w:rPr>
            </w:pPr>
          </w:p>
        </w:tc>
        <w:tc>
          <w:tcPr>
            <w:tcW w:w="6222" w:type="dxa"/>
            <w:tcBorders>
              <w:top w:val="single" w:color="auto" w:sz="2" w:space="0"/>
              <w:left w:val="single" w:color="auto" w:sz="2" w:space="0"/>
              <w:bottom w:val="single" w:color="auto" w:sz="2" w:space="0"/>
              <w:right w:val="single" w:color="auto" w:sz="2" w:space="0"/>
            </w:tcBorders>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学士</w:t>
            </w:r>
          </w:p>
        </w:tc>
        <w:tc>
          <w:tcPr>
            <w:tcW w:w="1119" w:type="dxa"/>
            <w:tcBorders>
              <w:top w:val="single" w:color="auto" w:sz="2" w:space="0"/>
              <w:left w:val="single" w:color="auto" w:sz="2" w:space="0"/>
              <w:bottom w:val="single" w:color="auto" w:sz="2" w:space="0"/>
              <w:right w:val="single" w:color="auto" w:sz="2" w:space="0"/>
            </w:tcBorders>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1" w:type="dxa"/>
            <w:vMerge w:val="restart"/>
            <w:tcBorders>
              <w:top w:val="single" w:color="auto" w:sz="4" w:space="0"/>
              <w:bottom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能力维度</w:t>
            </w:r>
          </w:p>
        </w:tc>
        <w:tc>
          <w:tcPr>
            <w:tcW w:w="6222" w:type="dxa"/>
            <w:tcBorders>
              <w:top w:val="single" w:color="auto" w:sz="4" w:space="0"/>
              <w:bottom w:val="single" w:color="auto" w:sz="4" w:space="0"/>
            </w:tcBorders>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lang w:val="en-US" w:eastAsia="zh-CN"/>
              </w:rPr>
              <w:t>近一年工资薪金30</w:t>
            </w:r>
            <w:r>
              <w:rPr>
                <w:rFonts w:hint="eastAsia" w:ascii="仿宋_GB2312" w:hAnsi="仿宋_GB2312" w:cs="仿宋_GB2312"/>
                <w:color w:val="auto"/>
                <w:sz w:val="24"/>
                <w:szCs w:val="24"/>
                <w:highlight w:val="none"/>
              </w:rPr>
              <w:t>（含）-</w:t>
            </w:r>
            <w:r>
              <w:rPr>
                <w:rFonts w:hint="eastAsia" w:ascii="仿宋_GB2312" w:hAnsi="仿宋_GB2312" w:cs="仿宋_GB2312"/>
                <w:color w:val="auto"/>
                <w:sz w:val="24"/>
                <w:szCs w:val="24"/>
                <w:highlight w:val="none"/>
                <w:lang w:val="en-US" w:eastAsia="zh-CN"/>
              </w:rPr>
              <w:t>50万元得</w:t>
            </w:r>
            <w:r>
              <w:rPr>
                <w:rFonts w:hint="default" w:ascii="仿宋_GB2312" w:hAnsi="仿宋_GB2312" w:cs="仿宋_GB2312"/>
                <w:color w:val="auto"/>
                <w:sz w:val="24"/>
                <w:szCs w:val="24"/>
                <w:highlight w:val="none"/>
                <w:lang w:val="en-US" w:eastAsia="zh-CN"/>
              </w:rPr>
              <w:t>15</w:t>
            </w:r>
            <w:r>
              <w:rPr>
                <w:rFonts w:hint="eastAsia" w:ascii="仿宋_GB2312" w:hAnsi="仿宋_GB2312" w:cs="仿宋_GB2312"/>
                <w:color w:val="auto"/>
                <w:sz w:val="24"/>
                <w:szCs w:val="24"/>
                <w:highlight w:val="none"/>
                <w:lang w:val="en-US" w:eastAsia="zh-CN"/>
              </w:rPr>
              <w:t>分，50（含）-</w:t>
            </w:r>
            <w:r>
              <w:rPr>
                <w:rFonts w:hint="eastAsia" w:ascii="仿宋_GB2312" w:hAnsi="仿宋_GB2312" w:cs="仿宋_GB2312"/>
                <w:color w:val="auto"/>
                <w:sz w:val="24"/>
                <w:szCs w:val="24"/>
                <w:highlight w:val="none"/>
              </w:rPr>
              <w:t>100万元得</w:t>
            </w:r>
            <w:r>
              <w:rPr>
                <w:rFonts w:hint="default" w:ascii="仿宋_GB2312" w:hAnsi="仿宋_GB2312" w:cs="仿宋_GB2312"/>
                <w:color w:val="auto"/>
                <w:sz w:val="24"/>
                <w:szCs w:val="24"/>
                <w:highlight w:val="none"/>
                <w:lang w:val="en-US"/>
              </w:rPr>
              <w:t>25</w:t>
            </w:r>
            <w:r>
              <w:rPr>
                <w:rFonts w:hint="eastAsia" w:ascii="仿宋_GB2312" w:hAnsi="仿宋_GB2312" w:cs="仿宋_GB2312"/>
                <w:color w:val="auto"/>
                <w:sz w:val="24"/>
                <w:szCs w:val="24"/>
                <w:highlight w:val="none"/>
              </w:rPr>
              <w:t>分；100万元以上</w:t>
            </w:r>
            <w:r>
              <w:rPr>
                <w:rFonts w:hint="eastAsia" w:ascii="仿宋_GB2312" w:hAnsi="仿宋_GB2312" w:cs="仿宋_GB2312"/>
                <w:color w:val="auto"/>
                <w:sz w:val="24"/>
                <w:szCs w:val="24"/>
                <w:highlight w:val="none"/>
                <w:lang w:eastAsia="zh-CN"/>
              </w:rPr>
              <w:t>，</w:t>
            </w:r>
            <w:r>
              <w:rPr>
                <w:rFonts w:hint="eastAsia" w:ascii="仿宋_GB2312" w:hAnsi="仿宋_GB2312" w:cs="仿宋_GB2312"/>
                <w:color w:val="auto"/>
                <w:sz w:val="24"/>
                <w:szCs w:val="24"/>
                <w:highlight w:val="none"/>
                <w:lang w:val="en-US" w:eastAsia="zh-CN"/>
              </w:rPr>
              <w:t>500万元以下，</w:t>
            </w:r>
            <w:r>
              <w:rPr>
                <w:rFonts w:hint="eastAsia" w:ascii="仿宋_GB2312" w:hAnsi="仿宋_GB2312" w:cs="仿宋_GB2312"/>
                <w:color w:val="auto"/>
                <w:sz w:val="24"/>
                <w:szCs w:val="24"/>
                <w:highlight w:val="none"/>
              </w:rPr>
              <w:t>每增加100万元</w:t>
            </w:r>
            <w:r>
              <w:rPr>
                <w:rFonts w:hint="eastAsia" w:ascii="仿宋_GB2312" w:hAnsi="仿宋_GB2312" w:cs="仿宋_GB2312"/>
                <w:color w:val="auto"/>
                <w:sz w:val="24"/>
                <w:szCs w:val="24"/>
                <w:highlight w:val="none"/>
                <w:lang w:eastAsia="zh-CN"/>
              </w:rPr>
              <w:t>档次</w:t>
            </w:r>
            <w:r>
              <w:rPr>
                <w:rFonts w:hint="eastAsia" w:ascii="仿宋_GB2312" w:hAnsi="仿宋_GB2312" w:cs="仿宋_GB2312"/>
                <w:color w:val="auto"/>
                <w:sz w:val="24"/>
                <w:szCs w:val="24"/>
                <w:highlight w:val="none"/>
              </w:rPr>
              <w:t>加</w:t>
            </w:r>
            <w:r>
              <w:rPr>
                <w:rFonts w:hint="eastAsia" w:ascii="仿宋_GB2312" w:hAnsi="仿宋_GB2312" w:cs="仿宋_GB2312"/>
                <w:color w:val="auto"/>
                <w:sz w:val="24"/>
                <w:szCs w:val="24"/>
                <w:highlight w:val="none"/>
                <w:lang w:val="en-US" w:eastAsia="zh-CN"/>
              </w:rPr>
              <w:t>10</w:t>
            </w:r>
            <w:r>
              <w:rPr>
                <w:rFonts w:hint="eastAsia" w:ascii="仿宋_GB2312" w:hAnsi="仿宋_GB2312" w:cs="仿宋_GB2312"/>
                <w:color w:val="auto"/>
                <w:sz w:val="24"/>
                <w:szCs w:val="24"/>
                <w:highlight w:val="none"/>
              </w:rPr>
              <w:t>分</w:t>
            </w:r>
            <w:r>
              <w:rPr>
                <w:rFonts w:hint="eastAsia" w:ascii="仿宋_GB2312" w:hAnsi="仿宋_GB2312" w:cs="仿宋_GB2312"/>
                <w:color w:val="auto"/>
                <w:sz w:val="24"/>
                <w:szCs w:val="24"/>
                <w:highlight w:val="none"/>
                <w:lang w:eastAsia="zh-CN"/>
              </w:rPr>
              <w:t>；</w:t>
            </w:r>
            <w:r>
              <w:rPr>
                <w:rFonts w:hint="eastAsia" w:ascii="仿宋_GB2312" w:hAnsi="仿宋_GB2312" w:cs="仿宋_GB2312"/>
                <w:color w:val="auto"/>
                <w:sz w:val="24"/>
                <w:szCs w:val="24"/>
                <w:highlight w:val="none"/>
                <w:lang w:val="en-US" w:eastAsia="zh-CN"/>
              </w:rPr>
              <w:t>500万元以上每增加100万元档次加5分。</w:t>
            </w:r>
          </w:p>
        </w:tc>
        <w:tc>
          <w:tcPr>
            <w:tcW w:w="1119" w:type="dxa"/>
            <w:tcBorders>
              <w:top w:val="single" w:color="auto" w:sz="4" w:space="0"/>
              <w:bottom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最高100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1" w:type="dxa"/>
            <w:vMerge w:val="continue"/>
            <w:tcBorders>
              <w:top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auto"/>
                <w:sz w:val="24"/>
                <w:szCs w:val="24"/>
                <w:highlight w:val="none"/>
                <w:vertAlign w:val="baseline"/>
                <w:lang w:val="en-US" w:eastAsia="zh-CN"/>
              </w:rPr>
            </w:pPr>
          </w:p>
        </w:tc>
        <w:tc>
          <w:tcPr>
            <w:tcW w:w="6222"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cs="仿宋_GB2312"/>
                <w:color w:val="auto"/>
                <w:sz w:val="24"/>
                <w:szCs w:val="24"/>
                <w:highlight w:val="none"/>
                <w:lang w:val="en-US" w:eastAsia="zh-CN"/>
              </w:rPr>
            </w:pPr>
            <w:r>
              <w:rPr>
                <w:rFonts w:hint="default" w:ascii="仿宋_GB2312" w:hAnsi="仿宋_GB2312" w:cs="仿宋_GB2312"/>
                <w:color w:val="auto"/>
                <w:sz w:val="24"/>
                <w:szCs w:val="24"/>
                <w:highlight w:val="none"/>
                <w:lang w:val="en-US" w:eastAsia="zh-CN"/>
              </w:rPr>
              <w:t>获得创赛奖励的，按照国家级、省市级、区级分别加15分、10分、5分。</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最高15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1" w:type="dxa"/>
            <w:tcBorders>
              <w:top w:val="single" w:color="auto" w:sz="4" w:space="0"/>
              <w:bottom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经验维度</w:t>
            </w:r>
          </w:p>
        </w:tc>
        <w:tc>
          <w:tcPr>
            <w:tcW w:w="6222" w:type="dxa"/>
            <w:tcBorders>
              <w:top w:val="nil"/>
              <w:bottom w:val="single" w:color="auto" w:sz="4" w:space="0"/>
            </w:tcBorders>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工作每满1年得1分；拥有本领域创业经历（法定代表人或股权占比30%及以上）加3分。</w:t>
            </w:r>
          </w:p>
        </w:tc>
        <w:tc>
          <w:tcPr>
            <w:tcW w:w="1119" w:type="dxa"/>
            <w:tcBorders>
              <w:top w:val="nil"/>
              <w:bottom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最高20</w:t>
            </w:r>
          </w:p>
        </w:tc>
      </w:tr>
    </w:tbl>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表2 人才积分奖励定档表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9"/>
        <w:gridCol w:w="3050"/>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09"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分档级别</w:t>
            </w:r>
          </w:p>
        </w:tc>
        <w:tc>
          <w:tcPr>
            <w:tcW w:w="3050"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人才积分</w:t>
            </w:r>
          </w:p>
        </w:tc>
        <w:tc>
          <w:tcPr>
            <w:tcW w:w="2733"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拟奖励标准（万元）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09" w:type="dxa"/>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五档</w:t>
            </w:r>
          </w:p>
        </w:tc>
        <w:tc>
          <w:tcPr>
            <w:tcW w:w="3050" w:type="dxa"/>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100</w:t>
            </w:r>
            <w:r>
              <w:rPr>
                <w:rFonts w:hint="eastAsia" w:ascii="仿宋_GB2312" w:hAnsi="仿宋_GB2312" w:eastAsia="仿宋_GB2312" w:cs="仿宋_GB2312"/>
                <w:color w:val="auto"/>
                <w:sz w:val="24"/>
                <w:szCs w:val="24"/>
                <w:highlight w:val="none"/>
                <w:vertAlign w:val="baseline"/>
                <w:lang w:val="en-US" w:eastAsia="zh-CN"/>
              </w:rPr>
              <w:t>（含）分以上</w:t>
            </w:r>
          </w:p>
        </w:tc>
        <w:tc>
          <w:tcPr>
            <w:tcW w:w="2733" w:type="dxa"/>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09" w:type="dxa"/>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黑体" w:hAnsi="黑体" w:eastAsia="黑体" w:cs="黑体"/>
                <w:color w:val="auto"/>
                <w:kern w:val="2"/>
                <w:sz w:val="24"/>
                <w:szCs w:val="24"/>
                <w:highlight w:val="none"/>
                <w:vertAlign w:val="baseline"/>
                <w:lang w:val="en-US" w:eastAsia="zh-CN" w:bidi="ar-SA"/>
              </w:rPr>
            </w:pPr>
            <w:r>
              <w:rPr>
                <w:rFonts w:hint="eastAsia" w:ascii="黑体" w:hAnsi="黑体" w:eastAsia="黑体" w:cs="黑体"/>
                <w:color w:val="auto"/>
                <w:sz w:val="24"/>
                <w:szCs w:val="24"/>
                <w:highlight w:val="none"/>
                <w:vertAlign w:val="baseline"/>
                <w:lang w:val="en-US" w:eastAsia="zh-CN"/>
              </w:rPr>
              <w:t>四档</w:t>
            </w:r>
          </w:p>
        </w:tc>
        <w:tc>
          <w:tcPr>
            <w:tcW w:w="3050" w:type="dxa"/>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80</w:t>
            </w:r>
            <w:r>
              <w:rPr>
                <w:rFonts w:hint="eastAsia" w:ascii="仿宋_GB2312" w:hAnsi="仿宋_GB2312" w:eastAsia="仿宋_GB2312" w:cs="仿宋_GB2312"/>
                <w:color w:val="auto"/>
                <w:sz w:val="24"/>
                <w:szCs w:val="24"/>
                <w:highlight w:val="none"/>
                <w:vertAlign w:val="baseline"/>
                <w:lang w:val="en-US" w:eastAsia="zh-CN"/>
              </w:rPr>
              <w:t>（含）-</w:t>
            </w:r>
            <w:r>
              <w:rPr>
                <w:rFonts w:hint="eastAsia" w:ascii="仿宋_GB2312" w:hAnsi="仿宋_GB2312" w:cs="仿宋_GB2312"/>
                <w:color w:val="auto"/>
                <w:sz w:val="24"/>
                <w:szCs w:val="24"/>
                <w:highlight w:val="none"/>
                <w:vertAlign w:val="baseline"/>
                <w:lang w:val="en-US" w:eastAsia="zh-CN"/>
              </w:rPr>
              <w:t>100</w:t>
            </w:r>
            <w:r>
              <w:rPr>
                <w:rFonts w:hint="eastAsia" w:ascii="仿宋_GB2312" w:hAnsi="仿宋_GB2312" w:eastAsia="仿宋_GB2312" w:cs="仿宋_GB2312"/>
                <w:color w:val="auto"/>
                <w:sz w:val="24"/>
                <w:szCs w:val="24"/>
                <w:highlight w:val="none"/>
                <w:vertAlign w:val="baseline"/>
                <w:lang w:val="en-US" w:eastAsia="zh-CN"/>
              </w:rPr>
              <w:t>分</w:t>
            </w:r>
          </w:p>
        </w:tc>
        <w:tc>
          <w:tcPr>
            <w:tcW w:w="2733" w:type="dxa"/>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209" w:type="dxa"/>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黑体" w:hAnsi="黑体" w:eastAsia="黑体" w:cs="黑体"/>
                <w:color w:val="auto"/>
                <w:kern w:val="2"/>
                <w:sz w:val="24"/>
                <w:szCs w:val="24"/>
                <w:highlight w:val="none"/>
                <w:vertAlign w:val="baseline"/>
                <w:lang w:val="en-US" w:eastAsia="zh-CN" w:bidi="ar-SA"/>
              </w:rPr>
            </w:pPr>
            <w:r>
              <w:rPr>
                <w:rFonts w:hint="eastAsia" w:ascii="黑体" w:hAnsi="黑体" w:eastAsia="黑体" w:cs="黑体"/>
                <w:color w:val="auto"/>
                <w:sz w:val="24"/>
                <w:szCs w:val="24"/>
                <w:highlight w:val="none"/>
                <w:vertAlign w:val="baseline"/>
                <w:lang w:val="en-US" w:eastAsia="zh-CN"/>
              </w:rPr>
              <w:t>三档</w:t>
            </w:r>
          </w:p>
        </w:tc>
        <w:tc>
          <w:tcPr>
            <w:tcW w:w="3050" w:type="dxa"/>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60</w:t>
            </w:r>
            <w:r>
              <w:rPr>
                <w:rFonts w:hint="eastAsia" w:ascii="仿宋_GB2312" w:hAnsi="仿宋_GB2312" w:eastAsia="仿宋_GB2312" w:cs="仿宋_GB2312"/>
                <w:color w:val="auto"/>
                <w:sz w:val="24"/>
                <w:szCs w:val="24"/>
                <w:highlight w:val="none"/>
                <w:vertAlign w:val="baseline"/>
                <w:lang w:val="en-US" w:eastAsia="zh-CN"/>
              </w:rPr>
              <w:t>（含）-</w:t>
            </w:r>
            <w:r>
              <w:rPr>
                <w:rFonts w:hint="eastAsia" w:ascii="仿宋_GB2312" w:hAnsi="仿宋_GB2312" w:cs="仿宋_GB2312"/>
                <w:color w:val="auto"/>
                <w:sz w:val="24"/>
                <w:szCs w:val="24"/>
                <w:highlight w:val="none"/>
                <w:vertAlign w:val="baseline"/>
                <w:lang w:val="en-US" w:eastAsia="zh-CN"/>
              </w:rPr>
              <w:t>80</w:t>
            </w:r>
            <w:r>
              <w:rPr>
                <w:rFonts w:hint="eastAsia" w:ascii="仿宋_GB2312" w:hAnsi="仿宋_GB2312" w:eastAsia="仿宋_GB2312" w:cs="仿宋_GB2312"/>
                <w:color w:val="auto"/>
                <w:sz w:val="24"/>
                <w:szCs w:val="24"/>
                <w:highlight w:val="none"/>
                <w:vertAlign w:val="baseline"/>
                <w:lang w:val="en-US" w:eastAsia="zh-CN"/>
              </w:rPr>
              <w:t>分</w:t>
            </w:r>
          </w:p>
        </w:tc>
        <w:tc>
          <w:tcPr>
            <w:tcW w:w="2733" w:type="dxa"/>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09" w:type="dxa"/>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黑体" w:hAnsi="黑体" w:eastAsia="黑体" w:cs="黑体"/>
                <w:color w:val="auto"/>
                <w:kern w:val="2"/>
                <w:sz w:val="24"/>
                <w:szCs w:val="24"/>
                <w:highlight w:val="none"/>
                <w:vertAlign w:val="baseline"/>
                <w:lang w:val="en-US" w:eastAsia="zh-CN" w:bidi="ar-SA"/>
              </w:rPr>
            </w:pPr>
            <w:r>
              <w:rPr>
                <w:rFonts w:hint="eastAsia" w:ascii="黑体" w:hAnsi="黑体" w:eastAsia="黑体" w:cs="黑体"/>
                <w:color w:val="auto"/>
                <w:sz w:val="24"/>
                <w:szCs w:val="24"/>
                <w:highlight w:val="none"/>
                <w:vertAlign w:val="baseline"/>
                <w:lang w:val="en-US" w:eastAsia="zh-CN"/>
              </w:rPr>
              <w:t>二档</w:t>
            </w:r>
          </w:p>
        </w:tc>
        <w:tc>
          <w:tcPr>
            <w:tcW w:w="3050" w:type="dxa"/>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40</w:t>
            </w:r>
            <w:r>
              <w:rPr>
                <w:rFonts w:hint="eastAsia" w:ascii="仿宋_GB2312" w:hAnsi="仿宋_GB2312" w:eastAsia="仿宋_GB2312" w:cs="仿宋_GB2312"/>
                <w:color w:val="auto"/>
                <w:sz w:val="24"/>
                <w:szCs w:val="24"/>
                <w:highlight w:val="none"/>
                <w:vertAlign w:val="baseline"/>
                <w:lang w:val="en-US" w:eastAsia="zh-CN"/>
              </w:rPr>
              <w:t>（含）-</w:t>
            </w:r>
            <w:r>
              <w:rPr>
                <w:rFonts w:hint="eastAsia" w:ascii="仿宋_GB2312" w:hAnsi="仿宋_GB2312" w:cs="仿宋_GB2312"/>
                <w:color w:val="auto"/>
                <w:sz w:val="24"/>
                <w:szCs w:val="24"/>
                <w:highlight w:val="none"/>
                <w:vertAlign w:val="baseline"/>
                <w:lang w:val="en-US" w:eastAsia="zh-CN"/>
              </w:rPr>
              <w:t>60</w:t>
            </w:r>
            <w:r>
              <w:rPr>
                <w:rFonts w:hint="eastAsia" w:ascii="仿宋_GB2312" w:hAnsi="仿宋_GB2312" w:eastAsia="仿宋_GB2312" w:cs="仿宋_GB2312"/>
                <w:color w:val="auto"/>
                <w:sz w:val="24"/>
                <w:szCs w:val="24"/>
                <w:highlight w:val="none"/>
                <w:vertAlign w:val="baseline"/>
                <w:lang w:val="en-US" w:eastAsia="zh-CN"/>
              </w:rPr>
              <w:t>分</w:t>
            </w:r>
          </w:p>
        </w:tc>
        <w:tc>
          <w:tcPr>
            <w:tcW w:w="2733" w:type="dxa"/>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09" w:type="dxa"/>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黑体" w:hAnsi="黑体" w:eastAsia="黑体" w:cs="黑体"/>
                <w:color w:val="auto"/>
                <w:kern w:val="2"/>
                <w:sz w:val="24"/>
                <w:szCs w:val="24"/>
                <w:highlight w:val="none"/>
                <w:vertAlign w:val="baseline"/>
                <w:lang w:val="en-US" w:eastAsia="zh-CN" w:bidi="ar-SA"/>
              </w:rPr>
            </w:pPr>
            <w:r>
              <w:rPr>
                <w:rFonts w:hint="eastAsia" w:ascii="黑体" w:hAnsi="黑体" w:eastAsia="黑体" w:cs="黑体"/>
                <w:color w:val="auto"/>
                <w:sz w:val="24"/>
                <w:szCs w:val="24"/>
                <w:highlight w:val="none"/>
                <w:vertAlign w:val="baseline"/>
                <w:lang w:val="en-US" w:eastAsia="zh-CN"/>
              </w:rPr>
              <w:t>一档</w:t>
            </w:r>
          </w:p>
        </w:tc>
        <w:tc>
          <w:tcPr>
            <w:tcW w:w="3050" w:type="dxa"/>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40</w:t>
            </w:r>
            <w:r>
              <w:rPr>
                <w:rFonts w:hint="eastAsia" w:ascii="仿宋_GB2312" w:hAnsi="仿宋_GB2312" w:eastAsia="仿宋_GB2312" w:cs="仿宋_GB2312"/>
                <w:color w:val="auto"/>
                <w:sz w:val="24"/>
                <w:szCs w:val="24"/>
                <w:highlight w:val="none"/>
                <w:vertAlign w:val="baseline"/>
                <w:lang w:val="en-US" w:eastAsia="zh-CN"/>
              </w:rPr>
              <w:t>分以下</w:t>
            </w:r>
          </w:p>
        </w:tc>
        <w:tc>
          <w:tcPr>
            <w:tcW w:w="2733" w:type="dxa"/>
            <w:noWrap w:val="0"/>
            <w:vAlign w:val="top"/>
          </w:tcPr>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w:t>
            </w:r>
          </w:p>
        </w:tc>
      </w:tr>
    </w:tbl>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四、设定依据</w:t>
      </w:r>
    </w:p>
    <w:p>
      <w:pPr>
        <w:pStyle w:val="3"/>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vertAlign w:val="baseline"/>
          <w:lang w:val="en-US" w:eastAsia="zh-CN"/>
        </w:rPr>
        <w:t>《南山区支持创新创业“六个一”行动方案》。</w:t>
      </w:r>
    </w:p>
    <w:p>
      <w:pPr>
        <w:pStyle w:val="3"/>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五、资助方式</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黑体" w:hAnsi="黑体" w:eastAsia="黑体" w:cs="黑体"/>
          <w:bCs/>
          <w:color w:val="auto"/>
          <w:kern w:val="2"/>
          <w:sz w:val="32"/>
          <w:szCs w:val="32"/>
          <w:highlight w:val="none"/>
          <w:lang w:eastAsia="zh-CN" w:bidi="ar-SA"/>
        </w:rPr>
      </w:pPr>
      <w:r>
        <w:rPr>
          <w:rFonts w:hint="eastAsia" w:ascii="仿宋_GB2312" w:eastAsia="仿宋_GB2312"/>
          <w:color w:val="auto"/>
          <w:sz w:val="32"/>
          <w:szCs w:val="32"/>
          <w:highlight w:val="none"/>
          <w:lang w:eastAsia="zh-CN"/>
        </w:rPr>
        <w:t>本资助计划属核准类，实行单位申报、材料审核、政府决策的原则，采取无偿资助方式，受资助项目无需验收。</w:t>
      </w:r>
    </w:p>
    <w:p>
      <w:pPr>
        <w:pStyle w:val="5"/>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黑体" w:hAnsi="黑体" w:eastAsia="黑体" w:cs="黑体"/>
          <w:bCs/>
          <w:color w:val="auto"/>
          <w:kern w:val="2"/>
          <w:sz w:val="32"/>
          <w:szCs w:val="32"/>
          <w:highlight w:val="none"/>
          <w:lang w:eastAsia="zh-CN" w:bidi="ar-SA"/>
        </w:rPr>
      </w:pPr>
      <w:r>
        <w:rPr>
          <w:rFonts w:hint="eastAsia" w:ascii="黑体" w:hAnsi="黑体" w:eastAsia="黑体" w:cs="黑体"/>
          <w:bCs/>
          <w:color w:val="auto"/>
          <w:kern w:val="2"/>
          <w:sz w:val="32"/>
          <w:szCs w:val="32"/>
          <w:highlight w:val="none"/>
          <w:lang w:eastAsia="zh-CN" w:bidi="ar-SA"/>
        </w:rPr>
        <w:t>六、办理流程</w:t>
      </w:r>
    </w:p>
    <w:p>
      <w:pPr>
        <w:pageBreakBefore w:val="0"/>
        <w:numPr>
          <w:ilvl w:val="0"/>
          <w:numId w:val="0"/>
        </w:numPr>
        <w:kinsoku/>
        <w:wordWrap/>
        <w:overflowPunct/>
        <w:topLinePunct w:val="0"/>
        <w:autoSpaceDE/>
        <w:autoSpaceDN/>
        <w:bidi w:val="0"/>
        <w:adjustRightInd/>
        <w:snapToGrid/>
        <w:spacing w:after="0" w:line="560" w:lineRule="exact"/>
        <w:ind w:left="0" w:firstLine="640" w:firstLineChars="200"/>
        <w:contextualSpacing/>
        <w:jc w:val="both"/>
        <w:textAlignment w:val="auto"/>
        <w:rPr>
          <w:rFonts w:hint="eastAsia" w:ascii="仿宋_GB2312" w:eastAsia="仿宋_GB2312"/>
          <w:color w:val="auto"/>
          <w:sz w:val="32"/>
          <w:szCs w:val="32"/>
          <w:highlight w:val="none"/>
          <w:lang w:eastAsia="zh-CN"/>
        </w:rPr>
      </w:pPr>
      <w:r>
        <w:rPr>
          <w:rFonts w:hint="eastAsia" w:ascii="仿宋_GB2312" w:hAnsi="Tahoma" w:eastAsia="仿宋_GB2312" w:cs="宋体"/>
          <w:color w:val="auto"/>
          <w:sz w:val="32"/>
          <w:szCs w:val="32"/>
          <w:lang w:val="en-US" w:eastAsia="zh-CN" w:bidi="ar-SA"/>
        </w:rPr>
        <w:t>（一）</w:t>
      </w:r>
      <w:r>
        <w:rPr>
          <w:rFonts w:hint="eastAsia" w:eastAsia="仿宋_GB2312"/>
          <w:color w:val="auto"/>
          <w:sz w:val="32"/>
          <w:szCs w:val="32"/>
          <w:highlight w:val="none"/>
          <w:lang w:eastAsia="zh-CN"/>
        </w:rPr>
        <w:t>申报</w:t>
      </w:r>
      <w:r>
        <w:rPr>
          <w:rFonts w:hint="eastAsia" w:eastAsia="仿宋_GB2312"/>
          <w:color w:val="auto"/>
          <w:sz w:val="32"/>
          <w:szCs w:val="32"/>
          <w:highlight w:val="none"/>
          <w:lang w:val="en-US" w:eastAsia="zh-CN"/>
        </w:rPr>
        <w:t>企业</w:t>
      </w:r>
      <w:r>
        <w:rPr>
          <w:rFonts w:hint="eastAsia" w:ascii="仿宋_GB2312" w:eastAsia="仿宋_GB2312"/>
          <w:color w:val="auto"/>
          <w:sz w:val="32"/>
          <w:szCs w:val="32"/>
          <w:highlight w:val="none"/>
          <w:lang w:eastAsia="zh-CN"/>
        </w:rPr>
        <w:t>登陆“i南山企业服务综合平台”（</w:t>
      </w:r>
      <w:r>
        <w:rPr>
          <w:rFonts w:hint="eastAsia" w:ascii="仿宋_GB2312" w:eastAsia="仿宋_GB2312"/>
          <w:color w:val="auto"/>
          <w:kern w:val="2"/>
          <w:sz w:val="32"/>
          <w:szCs w:val="32"/>
          <w:highlight w:val="none"/>
        </w:rPr>
        <w:t>https://www.inanshan.org.cn</w:t>
      </w:r>
      <w:r>
        <w:rPr>
          <w:rFonts w:hint="eastAsia" w:ascii="仿宋_GB2312" w:eastAsia="仿宋_GB2312"/>
          <w:color w:val="auto"/>
          <w:kern w:val="2"/>
          <w:sz w:val="32"/>
          <w:szCs w:val="32"/>
          <w:highlight w:val="none"/>
          <w:lang w:eastAsia="zh-CN"/>
        </w:rPr>
        <w:t>）</w:t>
      </w:r>
      <w:r>
        <w:rPr>
          <w:rFonts w:hint="eastAsia" w:ascii="仿宋_GB2312" w:eastAsia="仿宋_GB2312"/>
          <w:color w:val="auto"/>
          <w:sz w:val="32"/>
          <w:szCs w:val="32"/>
          <w:highlight w:val="none"/>
          <w:lang w:eastAsia="zh-CN"/>
        </w:rPr>
        <w:t>，网上提交</w:t>
      </w:r>
      <w:r>
        <w:rPr>
          <w:rFonts w:hint="eastAsia" w:ascii="仿宋_GB2312" w:eastAsia="仿宋_GB2312"/>
          <w:color w:val="auto"/>
          <w:sz w:val="32"/>
          <w:szCs w:val="32"/>
          <w:highlight w:val="none"/>
          <w:lang w:val="en-US" w:eastAsia="zh-CN"/>
        </w:rPr>
        <w:t>企业</w:t>
      </w:r>
      <w:r>
        <w:rPr>
          <w:rFonts w:hint="eastAsia" w:ascii="仿宋_GB2312" w:eastAsia="仿宋_GB2312"/>
          <w:color w:val="auto"/>
          <w:sz w:val="32"/>
          <w:szCs w:val="32"/>
          <w:highlight w:val="none"/>
          <w:lang w:eastAsia="zh-CN"/>
        </w:rPr>
        <w:t>申报材料；</w:t>
      </w:r>
    </w:p>
    <w:p>
      <w:pPr>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contextualSpacing/>
        <w:jc w:val="both"/>
        <w:textAlignment w:val="auto"/>
        <w:rPr>
          <w:rFonts w:hint="eastAsia" w:ascii="仿宋_GB2312" w:eastAsia="仿宋_GB2312"/>
          <w:color w:val="auto"/>
          <w:sz w:val="32"/>
          <w:szCs w:val="32"/>
          <w:highlight w:val="none"/>
          <w:lang w:eastAsia="zh-CN"/>
        </w:rPr>
      </w:pPr>
      <w:r>
        <w:rPr>
          <w:rFonts w:hint="eastAsia" w:ascii="仿宋_GB2312" w:hAnsi="Tahoma" w:eastAsia="仿宋_GB2312" w:cs="宋体"/>
          <w:color w:val="auto"/>
          <w:sz w:val="32"/>
          <w:szCs w:val="32"/>
          <w:lang w:val="en-US" w:eastAsia="zh-CN" w:bidi="ar-SA"/>
        </w:rPr>
        <w:t>（二）</w:t>
      </w:r>
      <w:r>
        <w:rPr>
          <w:rFonts w:hint="eastAsia" w:ascii="仿宋_GB2312" w:eastAsia="仿宋_GB2312"/>
          <w:color w:val="auto"/>
          <w:sz w:val="32"/>
          <w:szCs w:val="32"/>
          <w:highlight w:val="none"/>
          <w:lang w:eastAsia="zh-CN"/>
        </w:rPr>
        <w:t>区企业发展服务中心受理</w:t>
      </w:r>
      <w:r>
        <w:rPr>
          <w:rFonts w:hint="eastAsia" w:ascii="仿宋_GB2312" w:eastAsia="仿宋_GB2312"/>
          <w:color w:val="auto"/>
          <w:kern w:val="2"/>
          <w:sz w:val="32"/>
          <w:szCs w:val="32"/>
          <w:highlight w:val="none"/>
          <w:lang w:eastAsia="zh-CN"/>
        </w:rPr>
        <w:t>申请，</w:t>
      </w:r>
      <w:r>
        <w:rPr>
          <w:rFonts w:ascii="仿宋_GB2312" w:eastAsia="仿宋_GB2312"/>
          <w:color w:val="auto"/>
          <w:sz w:val="32"/>
          <w:szCs w:val="32"/>
          <w:highlight w:val="none"/>
          <w:lang w:eastAsia="zh-CN"/>
        </w:rPr>
        <w:t>对申报材料进行形式性审核</w:t>
      </w:r>
      <w:r>
        <w:rPr>
          <w:rFonts w:hint="eastAsia" w:ascii="仿宋_GB2312" w:eastAsia="仿宋_GB2312"/>
          <w:color w:val="auto"/>
          <w:sz w:val="32"/>
          <w:szCs w:val="32"/>
          <w:highlight w:val="none"/>
          <w:lang w:eastAsia="zh-CN"/>
        </w:rPr>
        <w:t>，区科技创新局、区工业和信息化局复审项目申报材料；</w:t>
      </w:r>
    </w:p>
    <w:p>
      <w:pPr>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eastAsia="zh-CN"/>
        </w:rPr>
        <w:t>（三）根据企业申报情况，由区科技创新局</w:t>
      </w:r>
      <w:r>
        <w:rPr>
          <w:rFonts w:hint="eastAsia" w:ascii="仿宋_GB2312" w:hAnsi="仿宋_GB2312" w:eastAsia="仿宋_GB2312"/>
          <w:color w:val="auto"/>
          <w:sz w:val="32"/>
          <w:szCs w:val="32"/>
          <w:highlight w:val="none"/>
          <w:lang w:eastAsia="zh-CN"/>
        </w:rPr>
        <w:t>、区工业和信息化局</w:t>
      </w:r>
      <w:r>
        <w:rPr>
          <w:rFonts w:hint="eastAsia" w:eastAsia="仿宋_GB2312"/>
          <w:color w:val="auto"/>
          <w:sz w:val="32"/>
          <w:szCs w:val="32"/>
          <w:highlight w:val="none"/>
          <w:lang w:eastAsia="zh-CN"/>
        </w:rPr>
        <w:t>按照分管产业领域</w:t>
      </w:r>
      <w:r>
        <w:rPr>
          <w:rFonts w:eastAsia="仿宋_GB2312"/>
          <w:color w:val="auto"/>
          <w:sz w:val="32"/>
          <w:szCs w:val="32"/>
          <w:highlight w:val="none"/>
          <w:lang w:eastAsia="zh-CN"/>
        </w:rPr>
        <w:t>拟定</w:t>
      </w:r>
      <w:r>
        <w:rPr>
          <w:rFonts w:hint="eastAsia" w:eastAsia="仿宋_GB2312"/>
          <w:color w:val="auto"/>
          <w:sz w:val="32"/>
          <w:szCs w:val="32"/>
          <w:highlight w:val="none"/>
          <w:lang w:val="en-US" w:eastAsia="zh-CN"/>
        </w:rPr>
        <w:t>奖励企业名单及指标分配方案</w:t>
      </w:r>
      <w:r>
        <w:rPr>
          <w:rFonts w:hint="eastAsia" w:eastAsia="仿宋_GB2312"/>
          <w:color w:val="auto"/>
          <w:sz w:val="32"/>
          <w:szCs w:val="32"/>
          <w:highlight w:val="none"/>
          <w:lang w:eastAsia="zh-CN"/>
        </w:rPr>
        <w:t>；</w:t>
      </w:r>
    </w:p>
    <w:p>
      <w:pPr>
        <w:pStyle w:val="5"/>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eastAsia="仿宋_GB2312"/>
          <w:color w:val="auto"/>
          <w:sz w:val="32"/>
          <w:szCs w:val="32"/>
          <w:highlight w:val="none"/>
          <w:lang w:eastAsia="zh-CN"/>
        </w:rPr>
      </w:pPr>
      <w:r>
        <w:rPr>
          <w:rFonts w:eastAsia="仿宋_GB2312"/>
          <w:color w:val="auto"/>
          <w:sz w:val="32"/>
          <w:szCs w:val="32"/>
          <w:highlight w:val="none"/>
          <w:lang w:eastAsia="zh-CN"/>
        </w:rPr>
        <w:t>（四）区企业发展服务中心组织对</w:t>
      </w:r>
      <w:r>
        <w:rPr>
          <w:rFonts w:hint="eastAsia" w:eastAsia="仿宋_GB2312"/>
          <w:color w:val="auto"/>
          <w:sz w:val="32"/>
          <w:szCs w:val="32"/>
          <w:highlight w:val="none"/>
          <w:lang w:eastAsia="zh-CN"/>
        </w:rPr>
        <w:t>企业</w:t>
      </w:r>
      <w:r>
        <w:rPr>
          <w:rFonts w:eastAsia="仿宋_GB2312"/>
          <w:color w:val="auto"/>
          <w:sz w:val="32"/>
          <w:szCs w:val="32"/>
          <w:highlight w:val="none"/>
          <w:lang w:eastAsia="zh-CN"/>
        </w:rPr>
        <w:t>的注册情况、</w:t>
      </w:r>
      <w:r>
        <w:rPr>
          <w:rFonts w:hint="eastAsia" w:eastAsia="仿宋_GB2312"/>
          <w:color w:val="auto"/>
          <w:sz w:val="32"/>
          <w:szCs w:val="32"/>
          <w:highlight w:val="none"/>
          <w:lang w:eastAsia="zh-CN"/>
        </w:rPr>
        <w:t>违规申报使用政府资金、</w:t>
      </w:r>
      <w:r>
        <w:rPr>
          <w:rFonts w:eastAsia="仿宋_GB2312"/>
          <w:color w:val="auto"/>
          <w:sz w:val="32"/>
          <w:szCs w:val="32"/>
          <w:highlight w:val="none"/>
          <w:lang w:eastAsia="zh-CN"/>
        </w:rPr>
        <w:t>商业贿赂和不良信用记录等情况进行核查；</w:t>
      </w:r>
    </w:p>
    <w:p>
      <w:pPr>
        <w:pStyle w:val="5"/>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（五）区产业主管部门将奖励企业名单及指标分配方案汇总报区人才工作局，提交联席会议审议</w:t>
      </w:r>
      <w:r>
        <w:rPr>
          <w:rFonts w:hint="eastAsia"/>
          <w:color w:val="auto"/>
          <w:sz w:val="32"/>
          <w:szCs w:val="32"/>
          <w:highlight w:val="none"/>
          <w:lang w:eastAsia="zh-CN"/>
        </w:rPr>
        <w:t>；</w:t>
      </w:r>
    </w:p>
    <w:p>
      <w:pPr>
        <w:pStyle w:val="5"/>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（六）审议通过后，由区产业主管部门通知企业提交奖励对象申报材料</w:t>
      </w:r>
      <w:r>
        <w:rPr>
          <w:rFonts w:hint="eastAsia"/>
          <w:color w:val="auto"/>
          <w:sz w:val="32"/>
          <w:szCs w:val="32"/>
          <w:highlight w:val="none"/>
          <w:lang w:eastAsia="zh-CN"/>
        </w:rPr>
        <w:t>；</w:t>
      </w:r>
    </w:p>
    <w:p>
      <w:pPr>
        <w:pStyle w:val="5"/>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（七）企业提交奖励对象申报材料，区人才工作局会同区产业主管部门按人才积分规定确定奖励档次，下达支持计划</w:t>
      </w:r>
      <w:r>
        <w:rPr>
          <w:rFonts w:hint="eastAsia"/>
          <w:color w:val="auto"/>
          <w:sz w:val="32"/>
          <w:szCs w:val="32"/>
          <w:highlight w:val="none"/>
          <w:lang w:eastAsia="zh-CN"/>
        </w:rPr>
        <w:t>；</w:t>
      </w:r>
    </w:p>
    <w:p>
      <w:pPr>
        <w:pStyle w:val="5"/>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（八）区财政部门及时安排资金，区产业主管部门按规定拨付资助经费</w:t>
      </w:r>
      <w:r>
        <w:rPr>
          <w:rFonts w:hint="eastAsia"/>
          <w:color w:val="auto"/>
          <w:sz w:val="32"/>
          <w:szCs w:val="32"/>
          <w:highlight w:val="none"/>
          <w:lang w:eastAsia="zh-CN"/>
        </w:rPr>
        <w:t>。</w:t>
      </w:r>
    </w:p>
    <w:p>
      <w:pPr>
        <w:pStyle w:val="5"/>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黑体" w:hAnsi="黑体" w:eastAsia="黑体" w:cs="黑体"/>
          <w:bCs/>
          <w:color w:val="auto"/>
          <w:kern w:val="2"/>
          <w:sz w:val="32"/>
          <w:szCs w:val="32"/>
          <w:highlight w:val="none"/>
          <w:lang w:val="en-US" w:eastAsia="zh-CN" w:bidi="ar-SA"/>
        </w:rPr>
      </w:pPr>
      <w:r>
        <w:rPr>
          <w:rFonts w:hint="eastAsia" w:ascii="黑体" w:hAnsi="黑体" w:eastAsia="黑体" w:cs="黑体"/>
          <w:bCs/>
          <w:color w:val="auto"/>
          <w:kern w:val="2"/>
          <w:sz w:val="32"/>
          <w:szCs w:val="32"/>
          <w:highlight w:val="none"/>
          <w:lang w:val="en-US" w:eastAsia="zh-CN" w:bidi="ar-SA"/>
        </w:rPr>
        <w:t>七、所需材料</w:t>
      </w:r>
    </w:p>
    <w:p>
      <w:pPr>
        <w:keepNext w:val="0"/>
        <w:keepLines w:val="0"/>
        <w:pageBreakBefore w:val="0"/>
        <w:widowControl/>
        <w:kinsoku/>
        <w:wordWrap/>
        <w:overflowPunct/>
        <w:topLinePunct w:val="0"/>
        <w:autoSpaceDE/>
        <w:autoSpaceDN/>
        <w:bidi w:val="0"/>
        <w:adjustRightInd/>
        <w:snapToGrid/>
        <w:spacing w:after="0" w:line="560" w:lineRule="exact"/>
        <w:ind w:leftChars="0" w:firstLine="640" w:firstLineChars="200"/>
        <w:jc w:val="both"/>
        <w:textAlignment w:val="auto"/>
        <w:outlineLvl w:val="0"/>
        <w:rPr>
          <w:rFonts w:hint="eastAsia" w:ascii="楷体_GB2312" w:hAnsi="楷体_GB2312" w:eastAsia="楷体_GB2312" w:cs="楷体_GB2312"/>
          <w:color w:val="auto"/>
          <w:kern w:val="0"/>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（一）企业申报材料</w:t>
      </w:r>
    </w:p>
    <w:p>
      <w:pPr>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重点产业人才支持行动项目申请书</w:t>
      </w:r>
      <w:r>
        <w:rPr>
          <w:rFonts w:hint="eastAsia" w:ascii="仿宋_GB2312" w:hAnsi="仿宋_GB2312" w:eastAsia="仿宋_GB2312" w:cs="仿宋_GB2312"/>
          <w:color w:val="auto"/>
          <w:sz w:val="32"/>
          <w:szCs w:val="32"/>
          <w:highlight w:val="none"/>
        </w:rPr>
        <w:t>》填表声明与保证（法定代表人签字、加盖单位公章并填写日期后，原件彩色扫描成PDF文件上传）；</w:t>
      </w:r>
    </w:p>
    <w:p>
      <w:pPr>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eastAsia="仿宋_GB2312" w:cs="仿宋_GB2312"/>
          <w:color w:val="auto"/>
          <w:spacing w:val="-6"/>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pacing w:val="-6"/>
          <w:sz w:val="32"/>
          <w:szCs w:val="32"/>
          <w:highlight w:val="none"/>
          <w:lang w:eastAsia="zh-CN"/>
        </w:rPr>
        <w:t>统一社会信用代码证书（原件彩色扫描成PDF文件上传）；</w:t>
      </w:r>
    </w:p>
    <w:p>
      <w:pPr>
        <w:pStyle w:val="5"/>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kern w:val="0"/>
          <w:sz w:val="32"/>
          <w:szCs w:val="32"/>
          <w:highlight w:val="none"/>
          <w:shd w:val="clear" w:color="auto" w:fill="auto"/>
          <w:lang w:val="en-US" w:eastAsia="zh-CN"/>
        </w:rPr>
        <w:t>申报单位属于人工智能</w:t>
      </w:r>
      <w:r>
        <w:rPr>
          <w:rFonts w:hint="eastAsia" w:ascii="仿宋_GB2312" w:hAnsi="仿宋_GB2312" w:cs="仿宋_GB2312"/>
          <w:color w:val="auto"/>
          <w:kern w:val="0"/>
          <w:sz w:val="32"/>
          <w:szCs w:val="32"/>
          <w:highlight w:val="none"/>
          <w:shd w:val="clear" w:color="auto" w:fill="auto"/>
          <w:lang w:val="en-US" w:eastAsia="zh-CN"/>
        </w:rPr>
        <w:t>、机器人</w:t>
      </w:r>
      <w:r>
        <w:rPr>
          <w:rFonts w:hint="eastAsia" w:ascii="仿宋_GB2312" w:hAnsi="仿宋_GB2312" w:eastAsia="仿宋_GB2312" w:cs="仿宋_GB2312"/>
          <w:color w:val="auto"/>
          <w:kern w:val="0"/>
          <w:sz w:val="32"/>
          <w:szCs w:val="32"/>
          <w:highlight w:val="none"/>
          <w:shd w:val="clear" w:color="auto" w:fill="auto"/>
          <w:lang w:val="en-US" w:eastAsia="zh-CN"/>
        </w:rPr>
        <w:t>领域优秀企业的佐证材料</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根据所属标准详细提供</w:t>
      </w:r>
      <w:r>
        <w:rPr>
          <w:rFonts w:hint="eastAsia" w:ascii="仿宋_GB2312" w:hAnsi="仿宋_GB2312" w:cs="仿宋_GB2312"/>
          <w:color w:val="auto"/>
          <w:sz w:val="32"/>
          <w:szCs w:val="32"/>
          <w:highlight w:val="none"/>
          <w:shd w:val="clear" w:color="auto" w:fill="auto"/>
          <w:lang w:eastAsia="zh-CN"/>
        </w:rPr>
        <w:t>创始人人才认定证书、</w:t>
      </w:r>
      <w:r>
        <w:rPr>
          <w:rFonts w:hint="eastAsia" w:ascii="仿宋_GB2312" w:hAnsi="仿宋_GB2312" w:eastAsia="仿宋_GB2312" w:cs="仿宋_GB2312"/>
          <w:color w:val="auto"/>
          <w:sz w:val="32"/>
          <w:szCs w:val="32"/>
          <w:highlight w:val="none"/>
          <w:shd w:val="clear" w:color="auto" w:fill="auto"/>
          <w:lang w:eastAsia="zh-CN"/>
        </w:rPr>
        <w:t>模力营签约协议、</w:t>
      </w:r>
      <w:r>
        <w:rPr>
          <w:rFonts w:hint="eastAsia" w:ascii="仿宋_GB2312" w:hAnsi="仿宋_GB2312" w:cs="仿宋_GB2312"/>
          <w:color w:val="auto"/>
          <w:sz w:val="32"/>
          <w:szCs w:val="32"/>
          <w:highlight w:val="none"/>
          <w:shd w:val="clear" w:color="auto" w:fill="auto"/>
          <w:lang w:eastAsia="zh-CN"/>
        </w:rPr>
        <w:t>备案证明、</w:t>
      </w:r>
      <w:r>
        <w:rPr>
          <w:rFonts w:hint="eastAsia" w:ascii="仿宋_GB2312" w:hAnsi="仿宋_GB2312" w:eastAsia="仿宋_GB2312" w:cs="仿宋_GB2312"/>
          <w:color w:val="auto"/>
          <w:sz w:val="32"/>
          <w:szCs w:val="32"/>
          <w:highlight w:val="none"/>
          <w:shd w:val="clear" w:color="auto" w:fill="auto"/>
          <w:lang w:eastAsia="zh-CN"/>
        </w:rPr>
        <w:t>获奖证书</w:t>
      </w:r>
      <w:r>
        <w:rPr>
          <w:rFonts w:hint="eastAsia" w:ascii="仿宋_GB2312" w:hAnsi="仿宋_GB2312" w:cs="仿宋_GB2312"/>
          <w:color w:val="auto"/>
          <w:sz w:val="32"/>
          <w:szCs w:val="32"/>
          <w:highlight w:val="none"/>
          <w:shd w:val="clear" w:color="auto" w:fill="auto"/>
          <w:lang w:eastAsia="zh-CN"/>
        </w:rPr>
        <w:t>、商业计划书、</w:t>
      </w:r>
      <w:r>
        <w:rPr>
          <w:rFonts w:hint="eastAsia" w:ascii="仿宋_GB2312" w:hAnsi="仿宋_GB2312" w:eastAsia="仿宋_GB2312" w:cs="仿宋_GB2312"/>
          <w:color w:val="auto"/>
          <w:sz w:val="32"/>
          <w:szCs w:val="32"/>
          <w:highlight w:val="none"/>
          <w:shd w:val="clear" w:color="auto" w:fill="auto"/>
        </w:rPr>
        <w:t>投资协议书或者股权投资证明文件及股权变更证明文件</w:t>
      </w:r>
      <w:r>
        <w:rPr>
          <w:rFonts w:hint="eastAsia" w:ascii="仿宋_GB2312" w:hAnsi="仿宋_GB2312" w:eastAsia="仿宋_GB2312" w:cs="仿宋_GB2312"/>
          <w:color w:val="auto"/>
          <w:sz w:val="32"/>
          <w:szCs w:val="32"/>
          <w:highlight w:val="none"/>
          <w:shd w:val="clear" w:color="auto" w:fill="auto"/>
          <w:lang w:eastAsia="zh-CN"/>
        </w:rPr>
        <w:t>等相关材料，</w:t>
      </w:r>
      <w:r>
        <w:rPr>
          <w:rFonts w:hint="eastAsia" w:ascii="仿宋_GB2312" w:hAnsi="仿宋_GB2312" w:eastAsia="仿宋_GB2312" w:cs="仿宋_GB2312"/>
          <w:color w:val="auto"/>
          <w:sz w:val="32"/>
          <w:szCs w:val="32"/>
          <w:highlight w:val="none"/>
          <w:shd w:val="clear" w:color="auto" w:fill="auto"/>
        </w:rPr>
        <w:t>加盖本单位公章</w:t>
      </w:r>
      <w:r>
        <w:rPr>
          <w:rFonts w:hint="eastAsia" w:ascii="仿宋_GB2312" w:hAnsi="仿宋_GB2312" w:eastAsia="仿宋_GB2312" w:cs="仿宋_GB2312"/>
          <w:color w:val="auto"/>
          <w:sz w:val="32"/>
          <w:szCs w:val="32"/>
          <w:highlight w:val="none"/>
          <w:lang w:eastAsia="zh-CN"/>
        </w:rPr>
        <w:t>彩色扫描成PDF文件上传</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cs="仿宋_GB2312"/>
          <w:color w:val="auto"/>
          <w:sz w:val="32"/>
          <w:szCs w:val="32"/>
          <w:highlight w:val="none"/>
          <w:shd w:val="clear" w:color="auto" w:fill="auto"/>
          <w:lang w:eastAsia="zh-CN"/>
        </w:rPr>
        <w:t>；</w:t>
      </w:r>
    </w:p>
    <w:p>
      <w:pPr>
        <w:pStyle w:val="5"/>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shd w:val="clear" w:color="auto" w:fill="auto"/>
          <w:lang w:val="en-US" w:eastAsia="zh-CN"/>
        </w:rPr>
        <w:t>4.</w:t>
      </w:r>
      <w:r>
        <w:rPr>
          <w:rFonts w:hint="eastAsia" w:ascii="仿宋_GB2312" w:hAnsi="仿宋_GB2312" w:cs="仿宋_GB2312"/>
          <w:color w:val="auto"/>
          <w:sz w:val="32"/>
          <w:szCs w:val="32"/>
          <w:highlight w:val="none"/>
          <w:shd w:val="clear" w:color="auto" w:fill="auto"/>
          <w:lang w:eastAsia="zh-CN"/>
        </w:rPr>
        <w:t>通</w:t>
      </w:r>
      <w:r>
        <w:rPr>
          <w:rFonts w:hint="default" w:ascii="仿宋_GB2312" w:hAnsi="仿宋_GB2312" w:cs="仿宋_GB2312"/>
          <w:color w:val="auto"/>
          <w:sz w:val="32"/>
          <w:szCs w:val="32"/>
          <w:highlight w:val="none"/>
          <w:shd w:val="clear" w:color="auto" w:fill="auto"/>
          <w:lang w:val="en-US" w:eastAsia="zh-CN"/>
        </w:rPr>
        <w:t>告</w:t>
      </w:r>
      <w:r>
        <w:rPr>
          <w:rFonts w:hint="eastAsia" w:ascii="仿宋_GB2312" w:hAnsi="仿宋_GB2312" w:cs="仿宋_GB2312"/>
          <w:color w:val="auto"/>
          <w:sz w:val="32"/>
          <w:szCs w:val="32"/>
          <w:highlight w:val="none"/>
          <w:shd w:val="clear" w:color="auto" w:fill="auto"/>
          <w:lang w:eastAsia="zh-CN"/>
        </w:rPr>
        <w:t>发布上月单位社会保险参保缴费情况证明及附表（需有职工明细，社保系统下载后，</w:t>
      </w:r>
      <w:r>
        <w:rPr>
          <w:rFonts w:hint="eastAsia" w:ascii="仿宋_GB2312" w:hAnsi="仿宋_GB2312" w:eastAsia="仿宋_GB2312" w:cs="仿宋_GB2312"/>
          <w:strike w:val="0"/>
          <w:dstrike w:val="0"/>
          <w:color w:val="auto"/>
          <w:kern w:val="0"/>
          <w:sz w:val="32"/>
          <w:szCs w:val="32"/>
          <w:highlight w:val="none"/>
          <w:shd w:val="clear" w:color="auto" w:fill="auto"/>
          <w:lang w:val="en-US" w:eastAsia="zh-CN"/>
        </w:rPr>
        <w:t>原件彩色扫描成PDF文件上传</w:t>
      </w:r>
      <w:r>
        <w:rPr>
          <w:rFonts w:hint="eastAsia" w:ascii="仿宋_GB2312" w:hAnsi="仿宋_GB2312" w:cs="仿宋_GB2312"/>
          <w:color w:val="auto"/>
          <w:sz w:val="32"/>
          <w:szCs w:val="32"/>
          <w:highlight w:val="none"/>
          <w:shd w:val="clear" w:color="auto" w:fill="auto"/>
          <w:lang w:eastAsia="zh-CN"/>
        </w:rPr>
        <w:t>）；</w:t>
      </w:r>
    </w:p>
    <w:p>
      <w:pPr>
        <w:pStyle w:val="5"/>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楷体_GB2312" w:hAnsi="楷体_GB2312" w:eastAsia="楷体_GB2312" w:cs="楷体_GB2312"/>
          <w:color w:val="auto"/>
          <w:kern w:val="0"/>
          <w:sz w:val="32"/>
          <w:szCs w:val="32"/>
          <w:highlight w:val="none"/>
          <w:shd w:val="clear" w:color="auto" w:fill="auto"/>
          <w:lang w:val="en-US" w:eastAsia="zh-CN"/>
        </w:rPr>
      </w:pPr>
      <w:r>
        <w:rPr>
          <w:rFonts w:hint="eastAsia" w:ascii="楷体_GB2312" w:hAnsi="楷体_GB2312" w:eastAsia="楷体_GB2312" w:cs="楷体_GB2312"/>
          <w:color w:val="auto"/>
          <w:kern w:val="0"/>
          <w:sz w:val="32"/>
          <w:szCs w:val="32"/>
          <w:highlight w:val="none"/>
          <w:shd w:val="clear" w:color="auto" w:fill="auto"/>
          <w:lang w:val="en-US" w:eastAsia="zh-CN"/>
        </w:rPr>
        <w:t>（二）</w:t>
      </w:r>
      <w:r>
        <w:rPr>
          <w:rFonts w:hint="eastAsia" w:ascii="楷体_GB2312" w:hAnsi="楷体_GB2312" w:eastAsia="楷体_GB2312" w:cs="楷体_GB2312"/>
          <w:color w:val="auto"/>
          <w:kern w:val="0"/>
          <w:sz w:val="32"/>
          <w:szCs w:val="32"/>
          <w:highlight w:val="none"/>
          <w:lang w:val="en-US" w:eastAsia="zh-CN" w:bidi="ar-SA"/>
        </w:rPr>
        <w:t>奖励对象材料</w:t>
      </w:r>
    </w:p>
    <w:p>
      <w:pPr>
        <w:pStyle w:val="5"/>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1.申报奖励对象身份证</w:t>
      </w:r>
      <w:r>
        <w:rPr>
          <w:rFonts w:hint="eastAsia" w:ascii="仿宋_GB2312" w:hAnsi="仿宋_GB2312" w:eastAsia="仿宋_GB2312" w:cs="仿宋_GB2312"/>
          <w:color w:val="auto"/>
          <w:sz w:val="32"/>
          <w:szCs w:val="32"/>
          <w:highlight w:val="none"/>
          <w:lang w:eastAsia="zh-CN"/>
        </w:rPr>
        <w:t>原件（或复印件加盖单位公章）彩色扫描成PDF文件上传</w:t>
      </w:r>
      <w:r>
        <w:rPr>
          <w:rFonts w:hint="eastAsia" w:ascii="仿宋_GB2312" w:hAnsi="仿宋_GB2312" w:cs="仿宋_GB2312"/>
          <w:color w:val="auto"/>
          <w:sz w:val="32"/>
          <w:szCs w:val="32"/>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vertAlign w:val="baseline"/>
          <w:lang w:val="en-US" w:eastAsia="zh-CN"/>
        </w:rPr>
        <w:t>2.</w:t>
      </w:r>
      <w:r>
        <w:rPr>
          <w:rFonts w:hint="eastAsia" w:ascii="仿宋_GB2312" w:hAnsi="仿宋_GB2312" w:eastAsia="仿宋_GB2312" w:cs="仿宋_GB2312"/>
          <w:color w:val="auto"/>
          <w:sz w:val="32"/>
          <w:szCs w:val="32"/>
          <w:highlight w:val="none"/>
          <w:vertAlign w:val="baseline"/>
          <w:lang w:val="en-US" w:eastAsia="zh-CN"/>
        </w:rPr>
        <w:t>申报奖励对象</w:t>
      </w:r>
      <w:r>
        <w:rPr>
          <w:rFonts w:hint="eastAsia" w:ascii="仿宋_GB2312" w:hAnsi="仿宋_GB2312" w:cs="仿宋_GB2312"/>
          <w:color w:val="auto"/>
          <w:sz w:val="32"/>
          <w:szCs w:val="32"/>
          <w:highlight w:val="none"/>
          <w:vertAlign w:val="baseline"/>
          <w:lang w:val="en-US" w:eastAsia="zh-CN"/>
        </w:rPr>
        <w:t>与申报企业签订的</w:t>
      </w:r>
      <w:r>
        <w:rPr>
          <w:rFonts w:hint="eastAsia" w:ascii="仿宋_GB2312" w:hAnsi="仿宋_GB2312" w:eastAsia="仿宋_GB2312" w:cs="仿宋_GB2312"/>
          <w:color w:val="auto"/>
          <w:sz w:val="32"/>
          <w:szCs w:val="32"/>
          <w:highlight w:val="none"/>
          <w:vertAlign w:val="baseline"/>
          <w:lang w:val="en-US" w:eastAsia="zh-CN"/>
        </w:rPr>
        <w:t>劳动合同</w:t>
      </w:r>
      <w:r>
        <w:rPr>
          <w:rFonts w:hint="eastAsia" w:ascii="仿宋_GB2312" w:hAnsi="仿宋_GB2312" w:cs="仿宋_GB2312"/>
          <w:color w:val="auto"/>
          <w:sz w:val="32"/>
          <w:szCs w:val="32"/>
          <w:highlight w:val="none"/>
          <w:vertAlign w:val="baseline"/>
          <w:lang w:val="en-US" w:eastAsia="zh-CN"/>
        </w:rPr>
        <w:t>（</w:t>
      </w:r>
      <w:r>
        <w:rPr>
          <w:rFonts w:hint="eastAsia" w:ascii="仿宋_GB2312" w:hAnsi="仿宋_GB2312" w:eastAsia="仿宋_GB2312" w:cs="仿宋_GB2312"/>
          <w:strike w:val="0"/>
          <w:dstrike w:val="0"/>
          <w:color w:val="auto"/>
          <w:kern w:val="0"/>
          <w:sz w:val="32"/>
          <w:szCs w:val="32"/>
          <w:highlight w:val="none"/>
          <w:shd w:val="clear" w:color="auto" w:fill="auto"/>
          <w:lang w:val="en-US" w:eastAsia="zh-CN"/>
        </w:rPr>
        <w:t>原件彩色扫描成PDF文件上传</w:t>
      </w:r>
      <w:r>
        <w:rPr>
          <w:rFonts w:hint="eastAsia" w:ascii="仿宋_GB2312" w:hAnsi="仿宋_GB2312" w:cs="仿宋_GB2312"/>
          <w:color w:val="auto"/>
          <w:sz w:val="32"/>
          <w:szCs w:val="32"/>
          <w:highlight w:val="none"/>
          <w:vertAlign w:val="baseline"/>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cs="仿宋_GB2312"/>
          <w:color w:val="auto"/>
          <w:sz w:val="32"/>
          <w:szCs w:val="32"/>
          <w:highlight w:val="none"/>
          <w:vertAlign w:val="baseline"/>
          <w:lang w:val="en-US" w:eastAsia="zh-CN"/>
        </w:rPr>
        <w:t>3.</w:t>
      </w:r>
      <w:r>
        <w:rPr>
          <w:rFonts w:hint="eastAsia" w:ascii="仿宋_GB2312" w:hAnsi="仿宋_GB2312" w:eastAsia="仿宋_GB2312" w:cs="仿宋_GB2312"/>
          <w:color w:val="auto"/>
          <w:sz w:val="32"/>
          <w:szCs w:val="32"/>
          <w:highlight w:val="none"/>
          <w:vertAlign w:val="baseline"/>
          <w:lang w:val="en-US" w:eastAsia="zh-CN"/>
        </w:rPr>
        <w:t>申报奖励对象</w:t>
      </w:r>
      <w:r>
        <w:rPr>
          <w:rFonts w:hint="eastAsia" w:ascii="仿宋_GB2312" w:hAnsi="仿宋_GB2312" w:cs="仿宋_GB2312"/>
          <w:color w:val="auto"/>
          <w:sz w:val="32"/>
          <w:szCs w:val="32"/>
          <w:highlight w:val="none"/>
          <w:vertAlign w:val="baseline"/>
          <w:lang w:val="en-US" w:eastAsia="zh-CN"/>
        </w:rPr>
        <w:t>近一年</w:t>
      </w:r>
      <w:r>
        <w:rPr>
          <w:rFonts w:hint="eastAsia" w:ascii="仿宋_GB2312" w:hAnsi="仿宋_GB2312" w:eastAsia="仿宋_GB2312" w:cs="仿宋_GB2312"/>
          <w:color w:val="auto"/>
          <w:sz w:val="32"/>
          <w:szCs w:val="32"/>
          <w:highlight w:val="none"/>
          <w:vertAlign w:val="baseline"/>
          <w:lang w:val="en-US" w:eastAsia="zh-CN"/>
        </w:rPr>
        <w:t>纳税证明</w:t>
      </w:r>
      <w:r>
        <w:rPr>
          <w:rFonts w:hint="eastAsia" w:ascii="仿宋_GB2312" w:hAnsi="仿宋_GB2312" w:cs="仿宋_GB2312"/>
          <w:color w:val="auto"/>
          <w:sz w:val="32"/>
          <w:szCs w:val="32"/>
          <w:highlight w:val="none"/>
          <w:vertAlign w:val="baseline"/>
          <w:lang w:val="en-US" w:eastAsia="zh-CN"/>
        </w:rPr>
        <w:t>（</w:t>
      </w:r>
      <w:r>
        <w:rPr>
          <w:rFonts w:hint="eastAsia" w:ascii="仿宋_GB2312" w:hAnsi="仿宋_GB2312" w:eastAsia="仿宋_GB2312" w:cs="仿宋_GB2312"/>
          <w:strike w:val="0"/>
          <w:dstrike w:val="0"/>
          <w:color w:val="auto"/>
          <w:kern w:val="0"/>
          <w:sz w:val="32"/>
          <w:szCs w:val="32"/>
          <w:highlight w:val="none"/>
          <w:shd w:val="clear" w:color="auto" w:fill="auto"/>
          <w:lang w:val="en-US" w:eastAsia="zh-CN"/>
        </w:rPr>
        <w:t>税务申报系统下载后，原件彩色扫描成PDF文件上传</w:t>
      </w:r>
      <w:r>
        <w:rPr>
          <w:rFonts w:hint="eastAsia" w:ascii="仿宋_GB2312" w:hAnsi="仿宋_GB2312" w:cs="仿宋_GB2312"/>
          <w:color w:val="auto"/>
          <w:sz w:val="32"/>
          <w:szCs w:val="32"/>
          <w:highlight w:val="none"/>
          <w:vertAlign w:val="baseline"/>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申报奖励对象学历、学位证书</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毕业院校为国</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境</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外院校的，需提供教育部留学服务中心认证</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原件彩色扫描成</w:t>
      </w:r>
      <w:r>
        <w:rPr>
          <w:rFonts w:hint="eastAsia" w:ascii="仿宋_GB2312" w:hAnsi="仿宋_GB2312" w:eastAsia="仿宋_GB2312" w:cs="仿宋_GB2312"/>
          <w:color w:val="auto"/>
          <w:sz w:val="32"/>
          <w:szCs w:val="32"/>
          <w:highlight w:val="none"/>
          <w:lang w:val="en-US" w:eastAsia="zh-CN"/>
        </w:rPr>
        <w:t>PDF上传</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shd w:val="clear" w:color="auto" w:fill="auto"/>
          <w:lang w:val="en-US" w:eastAsia="zh-CN"/>
        </w:rPr>
        <w:t>5.</w:t>
      </w:r>
      <w:r>
        <w:rPr>
          <w:rFonts w:hint="eastAsia" w:ascii="仿宋_GB2312" w:hAnsi="仿宋_GB2312" w:cs="仿宋_GB2312"/>
          <w:color w:val="auto"/>
          <w:sz w:val="32"/>
          <w:szCs w:val="32"/>
          <w:highlight w:val="none"/>
          <w:shd w:val="clear" w:color="auto" w:fill="auto"/>
          <w:lang w:eastAsia="zh-CN"/>
        </w:rPr>
        <w:t>申报奖励对象</w:t>
      </w:r>
      <w:r>
        <w:rPr>
          <w:rFonts w:hint="eastAsia" w:ascii="仿宋_GB2312" w:hAnsi="仿宋_GB2312" w:cs="仿宋_GB2312"/>
          <w:color w:val="auto"/>
          <w:sz w:val="32"/>
          <w:szCs w:val="32"/>
          <w:highlight w:val="none"/>
          <w:lang w:val="en-US" w:eastAsia="zh-CN"/>
        </w:rPr>
        <w:t>获得国家级、省市级、区级创赛奖励的证书文件（</w:t>
      </w:r>
      <w:r>
        <w:rPr>
          <w:rFonts w:hint="eastAsia" w:ascii="仿宋_GB2312" w:hAnsi="仿宋_GB2312" w:eastAsia="仿宋_GB2312" w:cs="仿宋_GB2312"/>
          <w:strike w:val="0"/>
          <w:dstrike w:val="0"/>
          <w:color w:val="auto"/>
          <w:kern w:val="0"/>
          <w:sz w:val="32"/>
          <w:szCs w:val="32"/>
          <w:highlight w:val="none"/>
          <w:shd w:val="clear" w:color="auto" w:fill="auto"/>
          <w:lang w:val="en-US" w:eastAsia="zh-CN"/>
        </w:rPr>
        <w:t>原件彩色扫描成PDF文件上传</w:t>
      </w:r>
      <w:r>
        <w:rPr>
          <w:rFonts w:hint="eastAsia" w:ascii="仿宋_GB2312" w:hAnsi="仿宋_GB2312" w:cs="仿宋_GB2312"/>
          <w:color w:val="auto"/>
          <w:sz w:val="32"/>
          <w:szCs w:val="32"/>
          <w:highlight w:val="none"/>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vertAlign w:val="baseline"/>
          <w:lang w:val="en-US" w:eastAsia="zh-CN"/>
        </w:rPr>
        <w:t>6.</w:t>
      </w:r>
      <w:r>
        <w:rPr>
          <w:rFonts w:hint="eastAsia" w:ascii="仿宋_GB2312" w:hAnsi="仿宋_GB2312" w:eastAsia="仿宋_GB2312" w:cs="仿宋_GB2312"/>
          <w:color w:val="auto"/>
          <w:sz w:val="32"/>
          <w:szCs w:val="32"/>
          <w:highlight w:val="none"/>
          <w:vertAlign w:val="baseline"/>
          <w:lang w:val="en-US" w:eastAsia="zh-CN"/>
        </w:rPr>
        <w:t>申报奖励对象自工作以来</w:t>
      </w:r>
      <w:r>
        <w:rPr>
          <w:rFonts w:hint="eastAsia" w:ascii="仿宋_GB2312" w:hAnsi="仿宋_GB2312" w:eastAsia="仿宋_GB2312" w:cs="仿宋_GB2312"/>
          <w:color w:val="auto"/>
          <w:sz w:val="32"/>
          <w:szCs w:val="32"/>
          <w:highlight w:val="none"/>
          <w:shd w:val="clear" w:color="auto" w:fill="auto"/>
          <w:lang w:eastAsia="zh-CN"/>
        </w:rPr>
        <w:t>社会保险参保证明</w:t>
      </w:r>
      <w:r>
        <w:rPr>
          <w:rFonts w:hint="eastAsia" w:ascii="仿宋_GB2312" w:hAnsi="仿宋_GB2312" w:cs="仿宋_GB2312"/>
          <w:color w:val="auto"/>
          <w:sz w:val="32"/>
          <w:szCs w:val="32"/>
          <w:highlight w:val="none"/>
          <w:shd w:val="clear" w:color="auto" w:fill="auto"/>
          <w:lang w:val="en-US" w:eastAsia="zh-CN"/>
        </w:rPr>
        <w:t>或境外工作证明材料</w:t>
      </w:r>
      <w:r>
        <w:rPr>
          <w:rFonts w:hint="eastAsia" w:ascii="仿宋_GB2312" w:hAnsi="仿宋_GB2312" w:cs="仿宋_GB2312"/>
          <w:color w:val="auto"/>
          <w:sz w:val="32"/>
          <w:szCs w:val="32"/>
          <w:highlight w:val="none"/>
          <w:shd w:val="clear" w:color="auto" w:fill="auto"/>
          <w:lang w:eastAsia="zh-CN"/>
        </w:rPr>
        <w:t>（社保系统下载后，</w:t>
      </w:r>
      <w:r>
        <w:rPr>
          <w:rFonts w:hint="eastAsia" w:ascii="仿宋_GB2312" w:hAnsi="仿宋_GB2312" w:eastAsia="仿宋_GB2312" w:cs="仿宋_GB2312"/>
          <w:strike w:val="0"/>
          <w:dstrike w:val="0"/>
          <w:color w:val="auto"/>
          <w:kern w:val="0"/>
          <w:sz w:val="32"/>
          <w:szCs w:val="32"/>
          <w:highlight w:val="none"/>
          <w:shd w:val="clear" w:color="auto" w:fill="auto"/>
          <w:lang w:val="en-US" w:eastAsia="zh-CN"/>
        </w:rPr>
        <w:t>原件彩色扫描成PDF文件上传</w:t>
      </w:r>
      <w:r>
        <w:rPr>
          <w:rFonts w:hint="eastAsia" w:ascii="仿宋_GB2312" w:hAnsi="仿宋_GB2312" w:cs="仿宋_GB2312"/>
          <w:color w:val="auto"/>
          <w:sz w:val="32"/>
          <w:szCs w:val="32"/>
          <w:highlight w:val="none"/>
          <w:shd w:val="clear" w:color="auto" w:fill="auto"/>
          <w:lang w:eastAsia="zh-CN"/>
        </w:rPr>
        <w:t>）；</w:t>
      </w:r>
    </w:p>
    <w:p>
      <w:pPr>
        <w:pStyle w:val="5"/>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shd w:val="clear" w:color="auto" w:fill="auto"/>
          <w:lang w:val="en-US" w:eastAsia="zh-CN"/>
        </w:rPr>
        <w:t>7.</w:t>
      </w:r>
      <w:r>
        <w:rPr>
          <w:rFonts w:hint="eastAsia" w:ascii="仿宋_GB2312" w:hAnsi="仿宋_GB2312" w:cs="仿宋_GB2312"/>
          <w:color w:val="auto"/>
          <w:sz w:val="32"/>
          <w:szCs w:val="32"/>
          <w:highlight w:val="none"/>
          <w:shd w:val="clear" w:color="auto" w:fill="auto"/>
          <w:lang w:eastAsia="zh-CN"/>
        </w:rPr>
        <w:t>申报奖励对象创业经历证明，如企业注册（法定代表人）或股权分配（股权占比30%以上）等材料</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strike w:val="0"/>
          <w:dstrike w:val="0"/>
          <w:color w:val="auto"/>
          <w:kern w:val="0"/>
          <w:sz w:val="32"/>
          <w:szCs w:val="32"/>
          <w:highlight w:val="none"/>
          <w:shd w:val="clear" w:color="auto" w:fill="auto"/>
          <w:lang w:val="en-US" w:eastAsia="zh-CN"/>
        </w:rPr>
        <w:t>原件彩色扫描成PDF文件上传</w:t>
      </w:r>
      <w:r>
        <w:rPr>
          <w:rFonts w:hint="eastAsia" w:ascii="仿宋_GB2312" w:hAnsi="仿宋_GB2312" w:cs="仿宋_GB2312"/>
          <w:color w:val="auto"/>
          <w:sz w:val="32"/>
          <w:szCs w:val="32"/>
          <w:highlight w:val="none"/>
          <w:lang w:val="en-US" w:eastAsia="zh-CN"/>
        </w:rPr>
        <w:t>）。</w:t>
      </w:r>
    </w:p>
    <w:p>
      <w:pPr>
        <w:pageBreakBefore w:val="0"/>
        <w:kinsoku/>
        <w:wordWrap/>
        <w:overflowPunct/>
        <w:topLinePunct w:val="0"/>
        <w:autoSpaceDE/>
        <w:autoSpaceDN/>
        <w:bidi w:val="0"/>
        <w:adjustRightInd/>
        <w:snapToGrid/>
        <w:spacing w:line="560" w:lineRule="exact"/>
        <w:ind w:firstLine="640" w:firstLineChars="200"/>
        <w:contextualSpacing/>
        <w:jc w:val="both"/>
        <w:textAlignment w:val="auto"/>
        <w:outlineLvl w:val="0"/>
        <w:rPr>
          <w:rFonts w:ascii="黑体" w:hAnsi="黑体" w:eastAsia="黑体" w:cs="黑体"/>
          <w:bCs/>
          <w:color w:val="auto"/>
          <w:kern w:val="2"/>
          <w:sz w:val="32"/>
          <w:szCs w:val="32"/>
          <w:highlight w:val="none"/>
          <w:lang w:eastAsia="zh-CN" w:bidi="ar-SA"/>
        </w:rPr>
      </w:pPr>
      <w:bookmarkStart w:id="2" w:name="_Hlk98161237"/>
      <w:r>
        <w:rPr>
          <w:rFonts w:hint="eastAsia" w:ascii="黑体" w:hAnsi="黑体" w:eastAsia="黑体" w:cs="黑体"/>
          <w:bCs/>
          <w:color w:val="auto"/>
          <w:kern w:val="2"/>
          <w:sz w:val="32"/>
          <w:szCs w:val="32"/>
          <w:highlight w:val="none"/>
          <w:lang w:eastAsia="zh-CN" w:bidi="ar-SA"/>
        </w:rPr>
        <w:t>八、</w:t>
      </w:r>
      <w:r>
        <w:rPr>
          <w:rFonts w:hint="eastAsia" w:ascii="黑体" w:hAnsi="黑体" w:eastAsia="黑体"/>
          <w:bCs/>
          <w:color w:val="auto"/>
          <w:sz w:val="32"/>
          <w:szCs w:val="32"/>
          <w:highlight w:val="none"/>
          <w:lang w:eastAsia="zh-CN"/>
        </w:rPr>
        <w:t>申报时间和办理要求</w:t>
      </w:r>
    </w:p>
    <w:p>
      <w:pPr>
        <w:pageBreakBefore w:val="0"/>
        <w:kinsoku/>
        <w:wordWrap/>
        <w:overflowPunct/>
        <w:topLinePunct w:val="0"/>
        <w:autoSpaceDE/>
        <w:autoSpaceDN/>
        <w:bidi w:val="0"/>
        <w:adjustRightInd/>
        <w:snapToGrid/>
        <w:spacing w:line="560" w:lineRule="exact"/>
        <w:ind w:firstLine="640" w:firstLineChars="200"/>
        <w:contextualSpacing/>
        <w:jc w:val="both"/>
        <w:textAlignment w:val="auto"/>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每年安排1-2次集中受理单位申请，具体受理时间以发布的申报通知为准。</w:t>
      </w:r>
    </w:p>
    <w:bookmarkEnd w:id="2"/>
    <w:p>
      <w:pPr>
        <w:pageBreakBefore w:val="0"/>
        <w:kinsoku/>
        <w:wordWrap/>
        <w:overflowPunct/>
        <w:topLinePunct w:val="0"/>
        <w:autoSpaceDE/>
        <w:autoSpaceDN/>
        <w:bidi w:val="0"/>
        <w:adjustRightInd/>
        <w:snapToGrid/>
        <w:spacing w:line="560" w:lineRule="exact"/>
        <w:ind w:firstLine="640" w:firstLineChars="200"/>
        <w:contextualSpacing/>
        <w:jc w:val="both"/>
        <w:textAlignment w:val="auto"/>
        <w:rPr>
          <w:rFonts w:ascii="仿宋_GB2312"/>
          <w:color w:val="auto"/>
          <w:szCs w:val="32"/>
          <w:highlight w:val="none"/>
          <w:lang w:eastAsia="zh-CN"/>
        </w:rPr>
      </w:pPr>
      <w:r>
        <w:rPr>
          <w:rFonts w:hint="eastAsia" w:ascii="仿宋_GB2312" w:eastAsia="仿宋_GB2312"/>
          <w:color w:val="auto"/>
          <w:sz w:val="32"/>
          <w:szCs w:val="32"/>
          <w:highlight w:val="none"/>
          <w:lang w:eastAsia="zh-CN"/>
        </w:rPr>
        <w:t>资助计划下达1个月内受资助单位须办理资金拨付手续，逾期不办理者视为自动放弃。</w:t>
      </w:r>
    </w:p>
    <w:p>
      <w:pPr>
        <w:pageBreakBefore w:val="0"/>
        <w:kinsoku/>
        <w:wordWrap/>
        <w:overflowPunct/>
        <w:topLinePunct w:val="0"/>
        <w:autoSpaceDE/>
        <w:autoSpaceDN/>
        <w:bidi w:val="0"/>
        <w:adjustRightInd/>
        <w:snapToGrid/>
        <w:spacing w:line="560" w:lineRule="exact"/>
        <w:ind w:firstLine="640" w:firstLineChars="200"/>
        <w:contextualSpacing/>
        <w:jc w:val="both"/>
        <w:textAlignment w:val="auto"/>
        <w:outlineLvl w:val="0"/>
        <w:rPr>
          <w:rFonts w:ascii="黑体" w:hAnsi="黑体" w:eastAsia="黑体" w:cs="黑体"/>
          <w:bCs/>
          <w:color w:val="auto"/>
          <w:kern w:val="2"/>
          <w:sz w:val="32"/>
          <w:szCs w:val="32"/>
          <w:highlight w:val="none"/>
          <w:lang w:eastAsia="zh-CN" w:bidi="ar-SA"/>
        </w:rPr>
      </w:pPr>
      <w:r>
        <w:rPr>
          <w:rFonts w:hint="eastAsia" w:ascii="黑体" w:hAnsi="黑体" w:eastAsia="黑体" w:cs="黑体"/>
          <w:bCs/>
          <w:color w:val="auto"/>
          <w:kern w:val="2"/>
          <w:sz w:val="32"/>
          <w:szCs w:val="32"/>
          <w:highlight w:val="none"/>
          <w:lang w:eastAsia="zh-CN" w:bidi="ar-SA"/>
        </w:rPr>
        <w:t>九、附则</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outlineLvl w:val="0"/>
        <w:rPr>
          <w:rFonts w:hint="eastAsia" w:ascii="仿宋_GB2312" w:hAnsi="仿宋" w:eastAsia="仿宋_GB2312"/>
          <w:color w:val="auto"/>
          <w:sz w:val="32"/>
          <w:szCs w:val="32"/>
          <w:highlight w:val="none"/>
          <w:lang w:eastAsia="zh-CN"/>
        </w:rPr>
      </w:pPr>
      <w:r>
        <w:rPr>
          <w:rFonts w:eastAsia="仿宋_GB2312"/>
          <w:color w:val="auto"/>
          <w:sz w:val="32"/>
          <w:szCs w:val="32"/>
          <w:highlight w:val="none"/>
          <w:lang w:eastAsia="zh-CN"/>
        </w:rPr>
        <w:t>本</w:t>
      </w:r>
      <w:r>
        <w:rPr>
          <w:rFonts w:hint="eastAsia" w:eastAsia="仿宋_GB2312"/>
          <w:color w:val="auto"/>
          <w:sz w:val="32"/>
          <w:szCs w:val="32"/>
          <w:highlight w:val="none"/>
          <w:lang w:val="en-US" w:eastAsia="zh-CN"/>
        </w:rPr>
        <w:t>行动</w:t>
      </w:r>
      <w:r>
        <w:rPr>
          <w:rFonts w:hint="eastAsia" w:eastAsia="仿宋_GB2312"/>
          <w:color w:val="auto"/>
          <w:sz w:val="32"/>
          <w:szCs w:val="32"/>
          <w:highlight w:val="none"/>
          <w:lang w:eastAsia="zh-CN"/>
        </w:rPr>
        <w:t>牵头</w:t>
      </w:r>
      <w:r>
        <w:rPr>
          <w:rFonts w:eastAsia="仿宋_GB2312"/>
          <w:color w:val="auto"/>
          <w:sz w:val="32"/>
          <w:szCs w:val="32"/>
          <w:highlight w:val="none"/>
          <w:lang w:eastAsia="zh-CN"/>
        </w:rPr>
        <w:t>部门为南山区</w:t>
      </w:r>
      <w:r>
        <w:rPr>
          <w:rFonts w:hint="eastAsia" w:eastAsia="仿宋_GB2312"/>
          <w:color w:val="auto"/>
          <w:sz w:val="32"/>
          <w:szCs w:val="32"/>
          <w:highlight w:val="none"/>
          <w:lang w:eastAsia="zh-CN"/>
        </w:rPr>
        <w:t>人才工作局</w:t>
      </w:r>
      <w:r>
        <w:rPr>
          <w:rFonts w:eastAsia="仿宋_GB2312"/>
          <w:color w:val="auto"/>
          <w:sz w:val="32"/>
          <w:szCs w:val="32"/>
          <w:highlight w:val="none"/>
          <w:lang w:eastAsia="zh-CN"/>
        </w:rPr>
        <w:t>，</w:t>
      </w:r>
      <w:r>
        <w:rPr>
          <w:rFonts w:hint="eastAsia" w:eastAsia="仿宋_GB2312"/>
          <w:color w:val="auto"/>
          <w:sz w:val="32"/>
          <w:szCs w:val="32"/>
          <w:highlight w:val="none"/>
          <w:lang w:eastAsia="zh-CN"/>
        </w:rPr>
        <w:t>执行部门为产业主管部门，</w:t>
      </w:r>
      <w:r>
        <w:rPr>
          <w:rFonts w:hint="eastAsia" w:ascii="仿宋_GB2312" w:hAnsi="仿宋" w:eastAsia="仿宋_GB2312"/>
          <w:color w:val="auto"/>
          <w:sz w:val="32"/>
          <w:szCs w:val="32"/>
          <w:highlight w:val="none"/>
          <w:lang w:eastAsia="zh-CN"/>
        </w:rPr>
        <w:t>本操作规程由其负责解释，自发布之日起施行。</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outlineLvl w:val="0"/>
        <w:rPr>
          <w:rFonts w:hint="default" w:ascii="仿宋_GB2312" w:hAnsi="仿宋" w:eastAsia="仿宋_GB2312"/>
          <w:color w:val="auto"/>
          <w:sz w:val="32"/>
          <w:szCs w:val="32"/>
          <w:highlight w:val="none"/>
          <w:lang w:val="en-US" w:eastAsia="zh-CN"/>
        </w:rPr>
      </w:pPr>
      <w:r>
        <w:rPr>
          <w:rFonts w:hint="eastAsia" w:ascii="仿宋_GB2312" w:hAnsi="仿宋" w:eastAsia="仿宋_GB2312"/>
          <w:b/>
          <w:bCs/>
          <w:color w:val="auto"/>
          <w:sz w:val="32"/>
          <w:szCs w:val="32"/>
          <w:highlight w:val="none"/>
          <w:lang w:val="en-US" w:eastAsia="zh-CN"/>
        </w:rPr>
        <w:t>联系方式：</w:t>
      </w:r>
      <w:r>
        <w:rPr>
          <w:rFonts w:hint="eastAsia" w:ascii="仿宋_GB2312" w:hAnsi="仿宋" w:eastAsia="仿宋_GB2312"/>
          <w:color w:val="auto"/>
          <w:sz w:val="32"/>
          <w:szCs w:val="32"/>
          <w:highlight w:val="none"/>
          <w:lang w:val="en-US" w:eastAsia="zh-CN"/>
        </w:rPr>
        <w:t>刘颀（区科技创新局人工智能产业办公室）0755-88168121；王晓梅（区工信局重点产业科）0755-88168719。</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ahoma">
    <w:panose1 w:val="020B0804030504040204"/>
    <w:charset w:val="00"/>
    <w:family w:val="auto"/>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Cambria">
    <w:altName w:val="苹方-简"/>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altName w:val="汉仪书宋二KW"/>
    <w:panose1 w:val="03000509000000000000"/>
    <w:charset w:val="86"/>
    <w:family w:val="auto"/>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FD624"/>
    <w:rsid w:val="66EFD624"/>
    <w:rsid w:val="6FD71693"/>
    <w:rsid w:val="F5A75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1"/>
    <w:basedOn w:val="1"/>
    <w:next w:val="1"/>
    <w:qFormat/>
    <w:uiPriority w:val="99"/>
    <w:pPr>
      <w:keepNext/>
      <w:keepLines/>
      <w:spacing w:line="360" w:lineRule="auto"/>
      <w:jc w:val="center"/>
      <w:outlineLvl w:val="0"/>
    </w:pPr>
    <w:rPr>
      <w:rFonts w:eastAsia="黑体"/>
      <w:kern w:val="44"/>
      <w:sz w:val="44"/>
      <w:szCs w:val="44"/>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paragraph" w:styleId="4">
    <w:name w:val="Body Text"/>
    <w:basedOn w:val="1"/>
    <w:unhideWhenUsed/>
    <w:qFormat/>
    <w:uiPriority w:val="99"/>
    <w:pPr>
      <w:spacing w:after="120"/>
    </w:pPr>
  </w:style>
  <w:style w:type="paragraph" w:styleId="5">
    <w:name w:val="Body Text First Indent"/>
    <w:basedOn w:val="4"/>
    <w:unhideWhenUsed/>
    <w:qFormat/>
    <w:uiPriority w:val="99"/>
    <w:pPr>
      <w:widowControl w:val="0"/>
      <w:spacing w:line="240" w:lineRule="auto"/>
      <w:ind w:firstLine="420" w:firstLineChars="100"/>
      <w:jc w:val="both"/>
    </w:pPr>
    <w:rPr>
      <w:rFonts w:eastAsia="仿宋_GB2312"/>
      <w:kern w:val="2"/>
      <w:sz w:val="32"/>
      <w:szCs w:val="24"/>
      <w:lang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2025-03-25T06:42:00Z</dcterms:created>
  <dc:creator>王玮黠</dc:creator>
  <cp:lastModifiedBy>王玮黠</cp:lastModifiedBy>
  <dcterms:modified xsi:type="dcterms:W3CDTF">2025-03-25T18:42:54Z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1C37D87322969729BBFEE067D2EFD51B_41</vt:lpwstr>
  </property>
</Properties>
</file>