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ascii="方正小标宋_GBK" w:hAnsi="方正小标宋_GBK" w:eastAsia="方正小标宋_GBK" w:cs="方正小标宋_GBK"/>
          <w:bCs w:val="0"/>
          <w:color w:val="auto"/>
          <w:sz w:val="44"/>
          <w:szCs w:val="44"/>
          <w:highlight w:val="none"/>
          <w:lang w:val="en-US" w:eastAsia="zh-CN" w:bidi="ar"/>
        </w:rPr>
      </w:pPr>
      <w:bookmarkStart w:id="0" w:name="_Toc1079461350"/>
      <w:r>
        <w:rPr>
          <w:rFonts w:hint="eastAsia" w:ascii="方正小标宋_GBK" w:hAnsi="方正小标宋_GBK" w:eastAsia="方正小标宋_GBK" w:cs="方正小标宋_GBK"/>
          <w:bCs w:val="0"/>
          <w:color w:val="auto"/>
          <w:sz w:val="44"/>
          <w:szCs w:val="44"/>
          <w:highlight w:val="none"/>
          <w:lang w:val="en-US" w:eastAsia="zh-CN" w:bidi="ar"/>
        </w:rPr>
        <w:t>新引进入户高校毕业生支持行动</w:t>
      </w:r>
      <w:bookmarkEnd w:id="0"/>
    </w:p>
    <w:p>
      <w:pPr>
        <w:pStyle w:val="3"/>
        <w:keepNext/>
        <w:keepLines/>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outlineLvl w:val="9"/>
        <w:rPr>
          <w:rFonts w:hint="eastAsia" w:ascii="方正小标宋_GBK" w:hAnsi="方正小标宋_GBK" w:eastAsia="方正小标宋_GBK" w:cs="方正小标宋_GBK"/>
          <w:bCs w:val="0"/>
          <w:color w:val="auto"/>
          <w:sz w:val="44"/>
          <w:szCs w:val="44"/>
          <w:highlight w:val="none"/>
          <w:lang w:val="en-US" w:eastAsia="zh-CN" w:bidi="ar"/>
        </w:rPr>
      </w:pPr>
      <w:bookmarkStart w:id="1" w:name="_Toc1615849047"/>
      <w:r>
        <w:rPr>
          <w:rFonts w:hint="eastAsia" w:ascii="方正小标宋_GBK" w:hAnsi="方正小标宋_GBK" w:eastAsia="方正小标宋_GBK" w:cs="方正小标宋_GBK"/>
          <w:bCs w:val="0"/>
          <w:color w:val="auto"/>
          <w:sz w:val="44"/>
          <w:szCs w:val="44"/>
          <w:highlight w:val="none"/>
          <w:lang w:val="en-US" w:eastAsia="zh-CN" w:bidi="ar"/>
        </w:rPr>
        <w:t>操作规程</w:t>
      </w:r>
      <w:bookmarkEnd w:id="1"/>
    </w:p>
    <w:p>
      <w:pPr>
        <w:keepNext w:val="0"/>
        <w:keepLines w:val="0"/>
        <w:pageBreakBefore w:val="0"/>
        <w:kinsoku/>
        <w:wordWrap/>
        <w:overflowPunct/>
        <w:topLinePunct w:val="0"/>
        <w:autoSpaceDE/>
        <w:autoSpaceDN/>
        <w:bidi w:val="0"/>
        <w:adjustRightInd/>
        <w:snapToGrid/>
        <w:spacing w:after="0" w:line="560" w:lineRule="exact"/>
        <w:ind w:firstLine="0" w:firstLineChars="0"/>
        <w:jc w:val="center"/>
        <w:textAlignment w:val="auto"/>
        <w:rPr>
          <w:rFonts w:ascii="方正小标宋_GBK" w:hAnsi="宋体" w:eastAsia="方正小标宋_GBK" w:cs="宋体"/>
          <w:bCs/>
          <w:color w:val="auto"/>
          <w:sz w:val="44"/>
          <w:szCs w:val="44"/>
          <w:highlight w:val="none"/>
          <w:lang w:eastAsia="zh-CN" w:bidi="ar-SA"/>
        </w:rPr>
      </w:pP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color w:val="auto"/>
          <w:kern w:val="2"/>
          <w:sz w:val="32"/>
          <w:szCs w:val="32"/>
          <w:highlight w:val="none"/>
          <w:lang w:eastAsia="zh-CN" w:bidi="ar-SA"/>
        </w:rPr>
      </w:pPr>
      <w:bookmarkStart w:id="2" w:name="_Toc825209920"/>
      <w:bookmarkStart w:id="3" w:name="_Toc1690654052"/>
      <w:bookmarkStart w:id="4" w:name="_Toc1786322977"/>
      <w:r>
        <w:rPr>
          <w:rFonts w:hint="eastAsia" w:ascii="黑体" w:hAnsi="黑体" w:eastAsia="黑体" w:cs="黑体"/>
          <w:bCs/>
          <w:color w:val="auto"/>
          <w:kern w:val="2"/>
          <w:sz w:val="32"/>
          <w:szCs w:val="32"/>
          <w:highlight w:val="none"/>
          <w:lang w:eastAsia="zh-CN" w:bidi="ar-SA"/>
        </w:rPr>
        <w:t>一、政策内容</w:t>
      </w:r>
      <w:bookmarkEnd w:id="2"/>
      <w:bookmarkEnd w:id="3"/>
      <w:bookmarkEnd w:id="4"/>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对新引进入户35周岁以下国内外重点高校的全日制本科、硕士毕业生，分别给予最高</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lang w:val="en-US" w:eastAsia="zh-CN"/>
        </w:rPr>
        <w:t>万元</w:t>
      </w:r>
      <w:r>
        <w:rPr>
          <w:rFonts w:hint="default" w:ascii="仿宋_GB2312" w:hAnsi="仿宋_GB2312" w:eastAsia="仿宋_GB2312" w:cs="仿宋_GB2312"/>
          <w:color w:val="auto"/>
          <w:sz w:val="32"/>
          <w:szCs w:val="32"/>
          <w:highlight w:val="none"/>
          <w:lang w:eastAsia="zh-CN"/>
        </w:rPr>
        <w:t>生活</w:t>
      </w:r>
      <w:r>
        <w:rPr>
          <w:rFonts w:hint="eastAsia" w:ascii="仿宋_GB2312" w:hAnsi="仿宋_GB2312" w:eastAsia="仿宋_GB2312" w:cs="仿宋_GB2312"/>
          <w:color w:val="auto"/>
          <w:sz w:val="32"/>
          <w:szCs w:val="32"/>
          <w:highlight w:val="none"/>
          <w:lang w:val="en-US" w:eastAsia="zh-CN"/>
        </w:rPr>
        <w:t>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博士研究生按深圳市有关政策落实。</w:t>
      </w:r>
    </w:p>
    <w:p>
      <w:pPr>
        <w:pStyle w:val="6"/>
        <w:keepNext w:val="0"/>
        <w:keepLines w:val="0"/>
        <w:pageBreakBefore w:val="0"/>
        <w:numPr>
          <w:ilvl w:val="0"/>
          <w:numId w:val="0"/>
        </w:numPr>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黑体" w:hAnsi="黑体" w:eastAsia="黑体" w:cs="黑体"/>
          <w:bCs/>
          <w:color w:val="auto"/>
          <w:szCs w:val="32"/>
        </w:rPr>
      </w:pPr>
      <w:r>
        <w:rPr>
          <w:rFonts w:hint="eastAsia" w:ascii="黑体" w:hAnsi="黑体" w:eastAsia="黑体" w:cs="黑体"/>
          <w:bCs/>
          <w:color w:val="auto"/>
          <w:szCs w:val="32"/>
          <w:lang w:eastAsia="zh-CN"/>
        </w:rPr>
        <w:t>二、</w:t>
      </w:r>
      <w:r>
        <w:rPr>
          <w:rFonts w:hint="eastAsia" w:ascii="黑体" w:hAnsi="黑体" w:eastAsia="黑体" w:cs="黑体"/>
          <w:bCs/>
          <w:color w:val="auto"/>
          <w:szCs w:val="32"/>
        </w:rPr>
        <w:t>资助标准</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w:t>
      </w:r>
      <w:r>
        <w:rPr>
          <w:rFonts w:hint="default" w:ascii="仿宋_GB2312" w:hAnsi="仿宋_GB2312" w:eastAsia="仿宋_GB2312" w:cs="仿宋_GB2312"/>
          <w:color w:val="auto"/>
          <w:sz w:val="32"/>
          <w:szCs w:val="32"/>
          <w:highlight w:val="none"/>
          <w:lang w:val="en-US" w:eastAsia="zh-CN"/>
        </w:rPr>
        <w:t>符合条件的国内外重点高校</w:t>
      </w:r>
      <w:r>
        <w:rPr>
          <w:rFonts w:hint="eastAsia" w:ascii="仿宋_GB2312" w:hAnsi="仿宋_GB2312" w:eastAsia="仿宋_GB2312" w:cs="仿宋_GB2312"/>
          <w:color w:val="auto"/>
          <w:sz w:val="32"/>
          <w:szCs w:val="32"/>
          <w:highlight w:val="none"/>
          <w:lang w:val="en-US" w:eastAsia="zh-CN"/>
        </w:rPr>
        <w:t>全日制</w:t>
      </w:r>
      <w:r>
        <w:rPr>
          <w:rFonts w:hint="default" w:ascii="仿宋_GB2312" w:hAnsi="仿宋_GB2312" w:eastAsia="仿宋_GB2312" w:cs="仿宋_GB2312"/>
          <w:color w:val="auto"/>
          <w:sz w:val="32"/>
          <w:szCs w:val="32"/>
          <w:highlight w:val="none"/>
          <w:lang w:val="en-US" w:eastAsia="zh-CN"/>
        </w:rPr>
        <w:t>本科、硕士毕业生分别给予每人2万元</w:t>
      </w:r>
      <w:r>
        <w:rPr>
          <w:rFonts w:hint="eastAsia" w:ascii="仿宋_GB2312" w:hAnsi="仿宋_GB2312" w:eastAsia="仿宋_GB2312" w:cs="仿宋_GB2312"/>
          <w:color w:val="auto"/>
          <w:sz w:val="32"/>
          <w:szCs w:val="32"/>
          <w:highlight w:val="none"/>
          <w:lang w:val="en-US" w:eastAsia="zh-CN"/>
        </w:rPr>
        <w:t>、3万元</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生活补贴，对其中获得双学位的，分别给予3万元、5万元</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生活补贴。</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新引进入户毕业生由所在工作单位向</w:t>
      </w:r>
      <w:r>
        <w:rPr>
          <w:rFonts w:hint="eastAsia" w:ascii="仿宋_GB2312" w:hAnsi="仿宋_GB2312" w:eastAsia="仿宋_GB2312" w:cs="仿宋_GB2312"/>
          <w:color w:val="auto"/>
          <w:sz w:val="32"/>
          <w:szCs w:val="32"/>
          <w:highlight w:val="none"/>
          <w:lang w:val="en-US" w:eastAsia="zh-CN"/>
        </w:rPr>
        <w:t>南山</w:t>
      </w:r>
      <w:r>
        <w:rPr>
          <w:rFonts w:hint="default" w:ascii="仿宋_GB2312" w:hAnsi="仿宋_GB2312" w:eastAsia="仿宋_GB2312" w:cs="仿宋_GB2312"/>
          <w:color w:val="auto"/>
          <w:sz w:val="32"/>
          <w:szCs w:val="32"/>
          <w:highlight w:val="none"/>
          <w:lang w:val="en-US" w:eastAsia="zh-CN"/>
        </w:rPr>
        <w:t>区人力资源</w:t>
      </w:r>
      <w:r>
        <w:rPr>
          <w:rFonts w:hint="eastAsia" w:ascii="仿宋_GB2312" w:hAnsi="仿宋_GB2312" w:eastAsia="仿宋_GB2312" w:cs="仿宋_GB2312"/>
          <w:color w:val="auto"/>
          <w:sz w:val="32"/>
          <w:szCs w:val="32"/>
          <w:highlight w:val="none"/>
          <w:lang w:val="en-US" w:eastAsia="zh-CN"/>
        </w:rPr>
        <w:t>局</w:t>
      </w:r>
      <w:r>
        <w:rPr>
          <w:rFonts w:hint="default" w:ascii="仿宋_GB2312" w:hAnsi="仿宋_GB2312" w:eastAsia="仿宋_GB2312" w:cs="仿宋_GB2312"/>
          <w:color w:val="auto"/>
          <w:sz w:val="32"/>
          <w:szCs w:val="32"/>
          <w:highlight w:val="none"/>
          <w:lang w:val="en-US" w:eastAsia="zh-CN"/>
        </w:rPr>
        <w:t>提</w:t>
      </w:r>
      <w:r>
        <w:rPr>
          <w:rFonts w:hint="eastAsia" w:ascii="仿宋_GB2312" w:hAnsi="仿宋_GB2312" w:eastAsia="仿宋_GB2312" w:cs="仿宋_GB2312"/>
          <w:color w:val="auto"/>
          <w:sz w:val="32"/>
          <w:szCs w:val="32"/>
          <w:highlight w:val="none"/>
          <w:lang w:val="en-US" w:eastAsia="zh-CN"/>
        </w:rPr>
        <w:t>交</w:t>
      </w:r>
      <w:r>
        <w:rPr>
          <w:rFonts w:hint="default" w:ascii="仿宋_GB2312" w:hAnsi="仿宋_GB2312" w:eastAsia="仿宋_GB2312" w:cs="仿宋_GB2312"/>
          <w:color w:val="auto"/>
          <w:sz w:val="32"/>
          <w:szCs w:val="32"/>
          <w:highlight w:val="none"/>
          <w:lang w:val="en-US" w:eastAsia="zh-CN"/>
        </w:rPr>
        <w:t>申请，补贴资金原则上分两次审核发放</w:t>
      </w:r>
      <w:r>
        <w:rPr>
          <w:rFonts w:hint="eastAsia" w:ascii="仿宋_GB2312" w:hAnsi="仿宋_GB2312" w:eastAsia="仿宋_GB2312" w:cs="仿宋_GB2312"/>
          <w:color w:val="auto"/>
          <w:sz w:val="32"/>
          <w:szCs w:val="32"/>
          <w:highlight w:val="none"/>
          <w:lang w:val="en-US" w:eastAsia="zh-CN"/>
        </w:rPr>
        <w:t>至个人账户</w:t>
      </w:r>
      <w:r>
        <w:rPr>
          <w:rFonts w:hint="default" w:ascii="仿宋_GB2312" w:hAnsi="仿宋_GB2312" w:eastAsia="仿宋_GB2312" w:cs="仿宋_GB2312"/>
          <w:color w:val="auto"/>
          <w:sz w:val="32"/>
          <w:szCs w:val="32"/>
          <w:highlight w:val="none"/>
          <w:lang w:val="en-US" w:eastAsia="zh-CN"/>
        </w:rPr>
        <w:t>，首次发放金额为补贴标准的3</w:t>
      </w:r>
      <w:r>
        <w:rPr>
          <w:rFonts w:hint="eastAsia" w:ascii="仿宋_GB2312" w:hAnsi="仿宋_GB2312" w:eastAsia="仿宋_GB2312" w:cs="仿宋_GB2312"/>
          <w:color w:val="auto"/>
          <w:sz w:val="32"/>
          <w:szCs w:val="32"/>
          <w:highlight w:val="none"/>
          <w:lang w:val="en-US" w:eastAsia="zh-CN"/>
        </w:rPr>
        <w:t>0%（连续工作满3个月），</w:t>
      </w:r>
      <w:r>
        <w:rPr>
          <w:rFonts w:hint="default" w:ascii="仿宋_GB2312" w:hAnsi="仿宋_GB2312" w:eastAsia="仿宋_GB2312" w:cs="仿宋_GB2312"/>
          <w:color w:val="auto"/>
          <w:sz w:val="32"/>
          <w:szCs w:val="32"/>
          <w:highlight w:val="none"/>
          <w:lang w:val="en-US" w:eastAsia="zh-CN"/>
        </w:rPr>
        <w:t>续发金额为补贴标准的70%</w:t>
      </w:r>
      <w:r>
        <w:rPr>
          <w:rFonts w:hint="eastAsia" w:ascii="仿宋_GB2312" w:hAnsi="仿宋_GB2312" w:eastAsia="仿宋_GB2312" w:cs="仿宋_GB2312"/>
          <w:color w:val="auto"/>
          <w:sz w:val="32"/>
          <w:szCs w:val="32"/>
          <w:highlight w:val="none"/>
          <w:lang w:val="en-US" w:eastAsia="zh-CN"/>
        </w:rPr>
        <w:t>（连续工作满12个月）</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hint="eastAsia"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三、设定依据</w:t>
      </w:r>
    </w:p>
    <w:p>
      <w:pPr>
        <w:pStyle w:val="6"/>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Times New Roman" w:eastAsia="仿宋_GB2312" w:cs="Times New Roman"/>
          <w:color w:val="auto"/>
          <w:kern w:val="0"/>
          <w:sz w:val="32"/>
          <w:szCs w:val="32"/>
          <w:lang w:val="en-US" w:eastAsia="zh-CN" w:bidi="en-US"/>
        </w:rPr>
      </w:pPr>
      <w:r>
        <w:rPr>
          <w:rFonts w:hint="eastAsia" w:ascii="仿宋_GB2312" w:hAnsi="Times New Roman" w:eastAsia="仿宋_GB2312" w:cs="Times New Roman"/>
          <w:color w:val="auto"/>
          <w:kern w:val="0"/>
          <w:sz w:val="32"/>
          <w:szCs w:val="32"/>
          <w:lang w:val="en-US" w:eastAsia="zh-CN" w:bidi="en-US"/>
        </w:rPr>
        <w:t>《南山区支持创新创业“六个一”行动方案》</w:t>
      </w:r>
      <w:r>
        <w:rPr>
          <w:rFonts w:hint="eastAsia" w:ascii="仿宋_GB2312" w:hAnsi="Times New Roman" w:cs="Times New Roman"/>
          <w:color w:val="auto"/>
          <w:kern w:val="0"/>
          <w:sz w:val="32"/>
          <w:szCs w:val="32"/>
          <w:lang w:val="en-US" w:eastAsia="zh-CN" w:bidi="en-US"/>
        </w:rPr>
        <w:t>。</w:t>
      </w:r>
    </w:p>
    <w:p>
      <w:pPr>
        <w:keepNext w:val="0"/>
        <w:keepLines w:val="0"/>
        <w:pageBreakBefore w:val="0"/>
        <w:numPr>
          <w:ilvl w:val="0"/>
          <w:numId w:val="0"/>
        </w:numPr>
        <w:kinsoku/>
        <w:wordWrap/>
        <w:overflowPunct/>
        <w:topLinePunct w:val="0"/>
        <w:autoSpaceDE/>
        <w:autoSpaceDN/>
        <w:bidi w:val="0"/>
        <w:adjustRightInd/>
        <w:snapToGrid/>
        <w:spacing w:beforeLines="0" w:after="0" w:afterLines="0" w:line="560" w:lineRule="exact"/>
        <w:ind w:left="0" w:firstLine="640" w:firstLineChars="200"/>
        <w:jc w:val="both"/>
        <w:textAlignment w:val="auto"/>
        <w:outlineLvl w:val="0"/>
        <w:rPr>
          <w:rFonts w:hint="eastAsia"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val="en-US" w:eastAsia="zh-CN" w:bidi="ar-SA"/>
        </w:rPr>
        <w:t>四、</w:t>
      </w:r>
      <w:r>
        <w:rPr>
          <w:rFonts w:hint="eastAsia" w:ascii="黑体" w:hAnsi="黑体" w:eastAsia="黑体" w:cs="黑体"/>
          <w:bCs/>
          <w:color w:val="auto"/>
          <w:kern w:val="2"/>
          <w:sz w:val="32"/>
          <w:szCs w:val="32"/>
          <w:lang w:eastAsia="zh-CN" w:bidi="ar-SA"/>
        </w:rPr>
        <w:t>申报对象和条件</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楷体_GB2312" w:hAnsi="楷体_GB2312" w:eastAsia="楷体_GB2312" w:cs="楷体_GB2312"/>
          <w:color w:val="auto"/>
          <w:kern w:val="0"/>
          <w:sz w:val="32"/>
          <w:szCs w:val="32"/>
          <w:highlight w:val="none"/>
          <w:vertAlign w:val="baseline"/>
          <w:lang w:val="en-US" w:eastAsia="zh-CN"/>
        </w:rPr>
      </w:pPr>
      <w:r>
        <w:rPr>
          <w:rFonts w:hint="eastAsia" w:ascii="楷体_GB2312" w:hAnsi="楷体_GB2312" w:eastAsia="楷体_GB2312" w:cs="楷体_GB2312"/>
          <w:color w:val="auto"/>
          <w:kern w:val="0"/>
          <w:sz w:val="32"/>
          <w:szCs w:val="32"/>
          <w:highlight w:val="none"/>
          <w:vertAlign w:val="baseline"/>
          <w:lang w:val="en-US" w:eastAsia="zh-CN"/>
        </w:rPr>
        <w:t>（一）申请人须同时符合以下条件：</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1.申请人须为</w:t>
      </w:r>
      <w:r>
        <w:rPr>
          <w:rFonts w:hint="default" w:ascii="仿宋_GB2312" w:hAnsi="仿宋_GB2312" w:eastAsia="仿宋_GB2312" w:cs="仿宋_GB2312"/>
          <w:color w:val="auto"/>
          <w:sz w:val="32"/>
          <w:szCs w:val="32"/>
          <w:highlight w:val="none"/>
          <w:vertAlign w:val="baseline"/>
          <w:lang w:val="en-US" w:eastAsia="zh-CN"/>
        </w:rPr>
        <w:t>毕业</w:t>
      </w:r>
      <w:r>
        <w:rPr>
          <w:rFonts w:hint="eastAsia" w:ascii="仿宋_GB2312" w:hAnsi="仿宋_GB2312" w:eastAsia="仿宋_GB2312" w:cs="仿宋_GB2312"/>
          <w:color w:val="auto"/>
          <w:sz w:val="32"/>
          <w:szCs w:val="32"/>
          <w:highlight w:val="none"/>
          <w:vertAlign w:val="baseline"/>
          <w:lang w:val="en-US" w:eastAsia="zh-CN"/>
        </w:rPr>
        <w:t>于</w:t>
      </w:r>
      <w:r>
        <w:rPr>
          <w:rFonts w:hint="eastAsia" w:ascii="仿宋_GB2312" w:hAnsi="仿宋_GB2312" w:eastAsia="仿宋_GB2312" w:cs="仿宋_GB2312"/>
          <w:color w:val="auto"/>
          <w:sz w:val="32"/>
          <w:szCs w:val="32"/>
          <w:highlight w:val="none"/>
          <w:lang w:val="en-US" w:eastAsia="zh-CN"/>
        </w:rPr>
        <w:t>国内外重点高校</w:t>
      </w:r>
      <w:r>
        <w:rPr>
          <w:rFonts w:hint="eastAsia" w:ascii="楷体_GB2312" w:hAnsi="楷体_GB2312" w:eastAsia="楷体_GB2312" w:cs="楷体_GB2312"/>
          <w:color w:val="auto"/>
          <w:sz w:val="32"/>
          <w:szCs w:val="32"/>
          <w:highlight w:val="none"/>
          <w:vertAlign w:val="baseline"/>
          <w:lang w:val="en-US" w:eastAsia="zh-CN"/>
        </w:rPr>
        <w:t>（满足QS世界大学排名、THE泰晤士高等教育世界大学排名、ARWU软科世界大学学术排名、U.S.News世界大学排名四大榜单中任意一个榜单前150名或教育部“双一流”建设高校及建设学科</w:t>
      </w:r>
      <w:r>
        <w:rPr>
          <w:rFonts w:hint="eastAsia" w:ascii="楷体_GB2312" w:hAnsi="楷体_GB2312" w:eastAsia="楷体_GB2312" w:cs="楷体_GB2312"/>
          <w:color w:val="auto"/>
          <w:sz w:val="32"/>
          <w:szCs w:val="32"/>
          <w:highlight w:val="none"/>
          <w:vertAlign w:val="baseline"/>
          <w:lang w:eastAsia="zh-CN"/>
        </w:rPr>
        <w:t>）</w:t>
      </w:r>
      <w:r>
        <w:rPr>
          <w:rFonts w:hint="default" w:ascii="仿宋_GB2312" w:hAnsi="仿宋_GB2312" w:eastAsia="仿宋_GB2312" w:cs="仿宋_GB2312"/>
          <w:color w:val="auto"/>
          <w:sz w:val="32"/>
          <w:szCs w:val="32"/>
          <w:highlight w:val="none"/>
          <w:vertAlign w:val="baseline"/>
          <w:lang w:val="en-US" w:eastAsia="zh-CN"/>
        </w:rPr>
        <w:t>的</w:t>
      </w:r>
      <w:r>
        <w:rPr>
          <w:rFonts w:hint="eastAsia" w:ascii="仿宋_GB2312" w:hAnsi="仿宋_GB2312" w:eastAsia="仿宋_GB2312" w:cs="仿宋_GB2312"/>
          <w:color w:val="auto"/>
          <w:sz w:val="32"/>
          <w:szCs w:val="32"/>
          <w:highlight w:val="none"/>
          <w:vertAlign w:val="baseline"/>
          <w:lang w:val="en-US" w:eastAsia="zh-CN"/>
        </w:rPr>
        <w:t>全日制本科或硕士，并以该</w:t>
      </w:r>
      <w:r>
        <w:rPr>
          <w:rFonts w:hint="default" w:ascii="仿宋_GB2312" w:hAnsi="仿宋_GB2312" w:eastAsia="仿宋_GB2312" w:cs="仿宋_GB2312"/>
          <w:color w:val="auto"/>
          <w:sz w:val="32"/>
          <w:szCs w:val="32"/>
          <w:highlight w:val="none"/>
          <w:vertAlign w:val="baseline"/>
          <w:lang w:eastAsia="zh-CN"/>
        </w:rPr>
        <w:t>学历</w:t>
      </w:r>
      <w:r>
        <w:rPr>
          <w:rFonts w:hint="eastAsia" w:ascii="仿宋_GB2312" w:hAnsi="仿宋_GB2312" w:eastAsia="仿宋_GB2312" w:cs="仿宋_GB2312"/>
          <w:color w:val="auto"/>
          <w:sz w:val="32"/>
          <w:szCs w:val="32"/>
          <w:highlight w:val="none"/>
          <w:shd w:val="clear" w:color="auto" w:fill="auto"/>
          <w:vertAlign w:val="baseline"/>
          <w:lang w:val="en-US" w:eastAsia="zh-CN"/>
        </w:rPr>
        <w:t>首次</w:t>
      </w:r>
      <w:r>
        <w:rPr>
          <w:rFonts w:hint="eastAsia" w:ascii="仿宋_GB2312" w:hAnsi="仿宋_GB2312" w:eastAsia="仿宋_GB2312" w:cs="仿宋_GB2312"/>
          <w:color w:val="auto"/>
          <w:sz w:val="32"/>
          <w:szCs w:val="32"/>
          <w:highlight w:val="none"/>
          <w:vertAlign w:val="baseline"/>
          <w:lang w:val="en-US" w:eastAsia="zh-CN"/>
        </w:rPr>
        <w:t>办理深圳人才引进</w:t>
      </w:r>
      <w:r>
        <w:rPr>
          <w:rFonts w:hint="default" w:ascii="仿宋_GB2312" w:hAnsi="仿宋_GB2312" w:eastAsia="仿宋_GB2312" w:cs="仿宋_GB2312"/>
          <w:color w:val="auto"/>
          <w:sz w:val="32"/>
          <w:szCs w:val="32"/>
          <w:highlight w:val="none"/>
          <w:vertAlign w:val="baseline"/>
          <w:lang w:val="en-US" w:eastAsia="zh-CN"/>
        </w:rPr>
        <w:t>。</w:t>
      </w:r>
      <w:r>
        <w:rPr>
          <w:rFonts w:hint="default" w:ascii="仿宋_GB2312" w:hAnsi="仿宋_GB2312" w:eastAsia="仿宋_GB2312" w:cs="仿宋_GB2312"/>
          <w:color w:val="auto"/>
          <w:sz w:val="32"/>
          <w:szCs w:val="32"/>
          <w:highlight w:val="none"/>
          <w:vertAlign w:val="baseline"/>
          <w:lang w:eastAsia="zh-CN"/>
        </w:rPr>
        <w:t>榜单</w:t>
      </w:r>
      <w:r>
        <w:rPr>
          <w:rFonts w:hint="default" w:ascii="仿宋_GB2312" w:hAnsi="仿宋_GB2312" w:eastAsia="仿宋_GB2312" w:cs="仿宋_GB2312"/>
          <w:color w:val="auto"/>
          <w:sz w:val="32"/>
          <w:szCs w:val="32"/>
          <w:highlight w:val="none"/>
          <w:lang w:val="en-US" w:eastAsia="zh-CN"/>
        </w:rPr>
        <w:t>排名</w:t>
      </w:r>
      <w:r>
        <w:rPr>
          <w:rFonts w:hint="eastAsia" w:ascii="仿宋_GB2312" w:hAnsi="仿宋_GB2312" w:eastAsia="仿宋_GB2312" w:cs="仿宋_GB2312"/>
          <w:color w:val="auto"/>
          <w:sz w:val="32"/>
          <w:szCs w:val="32"/>
          <w:highlight w:val="none"/>
          <w:vertAlign w:val="baseline"/>
          <w:lang w:val="en-US" w:eastAsia="zh-CN"/>
        </w:rPr>
        <w:t>以</w:t>
      </w:r>
      <w:r>
        <w:rPr>
          <w:rFonts w:hint="default" w:ascii="仿宋_GB2312" w:hAnsi="仿宋_GB2312" w:eastAsia="仿宋_GB2312" w:cs="仿宋_GB2312"/>
          <w:color w:val="auto"/>
          <w:sz w:val="32"/>
          <w:szCs w:val="32"/>
          <w:highlight w:val="none"/>
          <w:vertAlign w:val="baseline"/>
          <w:lang w:val="en-US" w:eastAsia="zh-CN"/>
        </w:rPr>
        <w:t>申报年度官方网</w:t>
      </w:r>
      <w:r>
        <w:rPr>
          <w:rFonts w:hint="default" w:ascii="仿宋_GB2312" w:hAnsi="仿宋_GB2312" w:eastAsia="仿宋_GB2312" w:cs="仿宋_GB2312"/>
          <w:color w:val="auto"/>
          <w:sz w:val="32"/>
          <w:szCs w:val="32"/>
          <w:highlight w:val="none"/>
          <w:lang w:val="en-US" w:eastAsia="zh-CN"/>
        </w:rPr>
        <w:t>站公布的最新</w:t>
      </w:r>
      <w:r>
        <w:rPr>
          <w:rFonts w:hint="eastAsia" w:ascii="仿宋_GB2312" w:hAnsi="仿宋_GB2312" w:eastAsia="仿宋_GB2312" w:cs="仿宋_GB2312"/>
          <w:color w:val="auto"/>
          <w:sz w:val="32"/>
          <w:szCs w:val="32"/>
          <w:highlight w:val="none"/>
          <w:lang w:val="en-US" w:eastAsia="zh-CN"/>
        </w:rPr>
        <w:t>数据为准</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本市中外合作办学高校</w:t>
      </w:r>
      <w:r>
        <w:rPr>
          <w:rFonts w:hint="default"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val="en-US" w:eastAsia="zh-CN"/>
        </w:rPr>
        <w:t>市外高校在本市设立的研究生院和分校区，可以与本部同等对待</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双学位，</w:t>
      </w:r>
      <w:r>
        <w:rPr>
          <w:rFonts w:hint="default" w:ascii="仿宋_GB2312" w:hAnsi="仿宋_GB2312" w:eastAsia="仿宋_GB2312" w:cs="仿宋_GB2312"/>
          <w:color w:val="auto"/>
          <w:sz w:val="32"/>
          <w:szCs w:val="32"/>
          <w:highlight w:val="none"/>
          <w:lang w:val="en-US" w:eastAsia="zh-CN"/>
        </w:rPr>
        <w:t>限指申请人获得国内外重点高校同一</w:t>
      </w:r>
      <w:r>
        <w:rPr>
          <w:rFonts w:hint="default" w:ascii="仿宋_GB2312" w:hAnsi="仿宋_GB2312" w:eastAsia="仿宋_GB2312" w:cs="仿宋_GB2312"/>
          <w:color w:val="auto"/>
          <w:sz w:val="32"/>
          <w:szCs w:val="32"/>
          <w:highlight w:val="none"/>
          <w:lang w:eastAsia="zh-CN"/>
        </w:rPr>
        <w:t>学历</w:t>
      </w:r>
      <w:r>
        <w:rPr>
          <w:rFonts w:hint="default" w:ascii="仿宋_GB2312" w:hAnsi="仿宋_GB2312" w:eastAsia="仿宋_GB2312" w:cs="仿宋_GB2312"/>
          <w:color w:val="auto"/>
          <w:sz w:val="32"/>
          <w:szCs w:val="32"/>
          <w:highlight w:val="none"/>
          <w:lang w:val="en-US" w:eastAsia="zh-CN"/>
        </w:rPr>
        <w:t>层次</w:t>
      </w:r>
      <w:r>
        <w:rPr>
          <w:rFonts w:hint="default" w:ascii="仿宋_GB2312" w:hAnsi="仿宋_GB2312" w:eastAsia="仿宋_GB2312" w:cs="仿宋_GB2312"/>
          <w:color w:val="auto"/>
          <w:sz w:val="32"/>
          <w:szCs w:val="32"/>
          <w:highlight w:val="none"/>
          <w:lang w:eastAsia="zh-CN"/>
        </w:rPr>
        <w:t>颁发</w:t>
      </w:r>
      <w:r>
        <w:rPr>
          <w:rFonts w:hint="default" w:ascii="仿宋_GB2312" w:hAnsi="仿宋_GB2312" w:eastAsia="仿宋_GB2312" w:cs="仿宋_GB2312"/>
          <w:color w:val="auto"/>
          <w:sz w:val="32"/>
          <w:szCs w:val="32"/>
          <w:highlight w:val="none"/>
          <w:lang w:val="en-US" w:eastAsia="zh-CN"/>
        </w:rPr>
        <w:t>的两个独立学位</w:t>
      </w:r>
      <w:r>
        <w:rPr>
          <w:rFonts w:hint="default" w:ascii="仿宋_GB2312" w:hAnsi="仿宋_GB2312" w:eastAsia="仿宋_GB2312" w:cs="仿宋_GB2312"/>
          <w:color w:val="auto"/>
          <w:sz w:val="32"/>
          <w:szCs w:val="32"/>
          <w:highlight w:val="none"/>
          <w:lang w:eastAsia="zh-CN"/>
        </w:rPr>
        <w:t>证书</w:t>
      </w:r>
      <w:r>
        <w:rPr>
          <w:rFonts w:hint="default" w:ascii="仿宋_GB2312" w:hAnsi="仿宋_GB2312" w:eastAsia="仿宋_GB2312" w:cs="仿宋_GB2312"/>
          <w:color w:val="auto"/>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vertAlign w:val="baseline"/>
          <w:lang w:val="en-US" w:eastAsia="zh-CN"/>
        </w:rPr>
        <w:t>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w:t>
      </w:r>
      <w:r>
        <w:rPr>
          <w:rFonts w:hint="default" w:ascii="仿宋_GB2312" w:hAnsi="仿宋_GB2312" w:eastAsia="仿宋_GB2312" w:cs="仿宋_GB2312"/>
          <w:color w:val="auto"/>
          <w:sz w:val="32"/>
          <w:szCs w:val="32"/>
          <w:vertAlign w:val="baseline"/>
          <w:lang w:eastAsia="zh-CN"/>
        </w:rPr>
        <w:t>5</w:t>
      </w:r>
      <w:r>
        <w:rPr>
          <w:rFonts w:hint="eastAsia" w:ascii="仿宋_GB2312" w:hAnsi="仿宋_GB2312" w:eastAsia="仿宋_GB2312" w:cs="仿宋_GB2312"/>
          <w:color w:val="auto"/>
          <w:sz w:val="32"/>
          <w:szCs w:val="32"/>
          <w:vertAlign w:val="baseline"/>
          <w:lang w:val="en-US" w:eastAsia="zh-CN"/>
        </w:rPr>
        <w:t>年</w:t>
      </w:r>
      <w:r>
        <w:rPr>
          <w:rFonts w:hint="default" w:ascii="仿宋_GB2312" w:hAnsi="仿宋_GB2312" w:eastAsia="仿宋_GB2312" w:cs="仿宋_GB2312"/>
          <w:color w:val="auto"/>
          <w:sz w:val="32"/>
          <w:szCs w:val="32"/>
          <w:vertAlign w:val="baseline"/>
          <w:lang w:eastAsia="zh-CN"/>
        </w:rPr>
        <w:t>3</w:t>
      </w:r>
      <w:r>
        <w:rPr>
          <w:rFonts w:hint="eastAsia" w:ascii="仿宋_GB2312" w:hAnsi="仿宋_GB2312" w:eastAsia="仿宋_GB2312" w:cs="仿宋_GB2312"/>
          <w:color w:val="auto"/>
          <w:sz w:val="32"/>
          <w:szCs w:val="32"/>
          <w:vertAlign w:val="baseline"/>
          <w:lang w:val="en-US" w:eastAsia="zh-CN"/>
        </w:rPr>
        <w:t>月25</w:t>
      </w:r>
      <w:r>
        <w:rPr>
          <w:rFonts w:hint="default" w:ascii="仿宋_GB2312" w:hAnsi="仿宋_GB2312" w:eastAsia="仿宋_GB2312" w:cs="仿宋_GB2312"/>
          <w:color w:val="auto"/>
          <w:sz w:val="32"/>
          <w:szCs w:val="32"/>
          <w:vertAlign w:val="baseline"/>
          <w:lang w:eastAsia="zh-CN"/>
        </w:rPr>
        <w:t>日及之后</w:t>
      </w:r>
      <w:r>
        <w:rPr>
          <w:rFonts w:hint="eastAsia" w:ascii="仿宋_GB2312" w:hAnsi="仿宋_GB2312" w:eastAsia="仿宋_GB2312" w:cs="仿宋_GB2312"/>
          <w:color w:val="auto"/>
          <w:sz w:val="32"/>
          <w:szCs w:val="32"/>
          <w:vertAlign w:val="baseline"/>
          <w:lang w:val="en-US" w:eastAsia="zh-CN"/>
        </w:rPr>
        <w:t>，引进时年龄</w:t>
      </w:r>
      <w:r>
        <w:rPr>
          <w:rFonts w:hint="default" w:ascii="仿宋_GB2312" w:hAnsi="仿宋_GB2312" w:eastAsia="仿宋_GB2312" w:cs="仿宋_GB2312"/>
          <w:color w:val="auto"/>
          <w:sz w:val="32"/>
          <w:szCs w:val="32"/>
          <w:vertAlign w:val="baseline"/>
          <w:lang w:eastAsia="zh-CN"/>
        </w:rPr>
        <w:t>35</w:t>
      </w:r>
      <w:r>
        <w:rPr>
          <w:rFonts w:hint="eastAsia" w:ascii="仿宋_GB2312" w:hAnsi="仿宋_GB2312" w:eastAsia="仿宋_GB2312" w:cs="仿宋_GB2312"/>
          <w:color w:val="auto"/>
          <w:sz w:val="32"/>
          <w:szCs w:val="32"/>
          <w:vertAlign w:val="baseline"/>
          <w:lang w:val="en-US" w:eastAsia="zh-CN"/>
        </w:rPr>
        <w:t>（含）周岁以下</w:t>
      </w:r>
      <w:r>
        <w:rPr>
          <w:rFonts w:hint="default" w:ascii="仿宋_GB2312" w:hAnsi="仿宋_GB2312" w:eastAsia="仿宋_GB2312" w:cs="仿宋_GB2312"/>
          <w:color w:val="auto"/>
          <w:sz w:val="32"/>
          <w:szCs w:val="32"/>
          <w:vertAlign w:val="baseline"/>
          <w:lang w:eastAsia="zh-CN"/>
        </w:rPr>
        <w:t>。</w:t>
      </w:r>
      <w:r>
        <w:rPr>
          <w:rFonts w:hint="default"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lang w:val="en-US" w:eastAsia="zh-CN"/>
        </w:rPr>
        <w:t>应在人才引进之日起24个月内提出补贴申请</w:t>
      </w:r>
      <w:r>
        <w:rPr>
          <w:rFonts w:hint="default" w:ascii="仿宋_GB2312" w:hAnsi="仿宋_GB2312" w:eastAsia="仿宋_GB2312" w:cs="仿宋_GB2312"/>
          <w:color w:val="auto"/>
          <w:sz w:val="32"/>
          <w:szCs w:val="32"/>
          <w:highlight w:val="none"/>
          <w:lang w:val="en-US" w:eastAsia="zh-CN"/>
        </w:rPr>
        <w:t>（首发、续发</w:t>
      </w:r>
      <w:r>
        <w:rPr>
          <w:rFonts w:hint="eastAsia" w:ascii="仿宋_GB2312" w:hAnsi="仿宋_GB2312" w:eastAsia="仿宋_GB2312" w:cs="仿宋_GB2312"/>
          <w:color w:val="auto"/>
          <w:sz w:val="32"/>
          <w:szCs w:val="32"/>
          <w:highlight w:val="none"/>
          <w:lang w:val="en-US" w:eastAsia="zh-CN"/>
        </w:rPr>
        <w:t>补贴均须在24个月内由同一申报单位</w:t>
      </w:r>
      <w:r>
        <w:rPr>
          <w:rFonts w:hint="default" w:ascii="仿宋_GB2312" w:hAnsi="仿宋_GB2312" w:eastAsia="仿宋_GB2312" w:cs="仿宋_GB2312"/>
          <w:color w:val="auto"/>
          <w:sz w:val="32"/>
          <w:szCs w:val="32"/>
          <w:highlight w:val="none"/>
          <w:lang w:val="en-US" w:eastAsia="zh-CN"/>
        </w:rPr>
        <w:t>提出）</w:t>
      </w:r>
      <w:r>
        <w:rPr>
          <w:rFonts w:hint="default" w:ascii="仿宋_GB2312" w:hAnsi="仿宋_GB2312" w:eastAsia="仿宋_GB2312" w:cs="仿宋_GB2312"/>
          <w:color w:val="auto"/>
          <w:sz w:val="32"/>
          <w:szCs w:val="32"/>
          <w:highlight w:val="none"/>
          <w:lang w:eastAsia="zh-CN"/>
        </w:rPr>
        <w:t>。2025</w:t>
      </w:r>
      <w:r>
        <w:rPr>
          <w:rFonts w:hint="default" w:ascii="仿宋_GB2312" w:hAnsi="仿宋_GB2312" w:eastAsia="仿宋_GB2312" w:cs="仿宋_GB2312"/>
          <w:color w:val="auto"/>
          <w:sz w:val="32"/>
          <w:szCs w:val="32"/>
          <w:highlight w:val="none"/>
          <w:lang w:val="en-US" w:eastAsia="zh-CN"/>
        </w:rPr>
        <w:t>年</w:t>
      </w:r>
      <w:r>
        <w:rPr>
          <w:rFonts w:hint="default" w:ascii="仿宋_GB2312" w:hAnsi="仿宋_GB2312" w:eastAsia="仿宋_GB2312" w:cs="仿宋_GB2312"/>
          <w:color w:val="auto"/>
          <w:sz w:val="32"/>
          <w:szCs w:val="32"/>
          <w:highlight w:val="none"/>
          <w:lang w:eastAsia="zh-CN"/>
        </w:rPr>
        <w:t>3月</w:t>
      </w:r>
      <w:r>
        <w:rPr>
          <w:rFonts w:hint="default" w:ascii="仿宋_GB2312" w:hAnsi="仿宋_GB2312" w:eastAsia="仿宋_GB2312" w:cs="仿宋_GB2312"/>
          <w:color w:val="auto"/>
          <w:sz w:val="32"/>
          <w:szCs w:val="32"/>
          <w:highlight w:val="none"/>
          <w:lang w:val="en-US" w:eastAsia="zh-CN"/>
        </w:rPr>
        <w:t>25</w:t>
      </w:r>
      <w:r>
        <w:rPr>
          <w:rFonts w:hint="default" w:ascii="仿宋_GB2312" w:hAnsi="仿宋_GB2312" w:eastAsia="仿宋_GB2312" w:cs="仿宋_GB2312"/>
          <w:color w:val="auto"/>
          <w:sz w:val="32"/>
          <w:szCs w:val="32"/>
          <w:highlight w:val="none"/>
          <w:lang w:eastAsia="zh-CN"/>
        </w:rPr>
        <w:t>日（不含）之前办理人才引进入户的硕士毕业生依然适用原政策执行</w:t>
      </w:r>
      <w:r>
        <w:rPr>
          <w:rFonts w:hint="eastAsia" w:ascii="仿宋_GB2312" w:hAnsi="仿宋_GB2312" w:eastAsia="仿宋_GB2312" w:cs="仿宋_GB2312"/>
          <w:color w:val="auto"/>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人才引进</w:t>
      </w:r>
      <w:r>
        <w:rPr>
          <w:rFonts w:hint="eastAsia" w:ascii="仿宋_GB2312" w:hAnsi="仿宋_GB2312" w:eastAsia="仿宋_GB2312" w:cs="仿宋_GB2312"/>
          <w:color w:val="auto"/>
          <w:sz w:val="32"/>
          <w:szCs w:val="32"/>
          <w:highlight w:val="none"/>
          <w:lang w:val="en-US" w:eastAsia="zh-CN"/>
        </w:rPr>
        <w:t>须通过南山区人力资源局或深圳市人力资源和社会保障局</w:t>
      </w:r>
      <w:r>
        <w:rPr>
          <w:rFonts w:hint="default" w:ascii="仿宋_GB2312" w:hAnsi="仿宋_GB2312" w:eastAsia="仿宋_GB2312" w:cs="仿宋_GB2312"/>
          <w:color w:val="auto"/>
          <w:sz w:val="32"/>
          <w:szCs w:val="32"/>
          <w:highlight w:val="none"/>
          <w:lang w:val="en-US" w:eastAsia="zh-CN"/>
        </w:rPr>
        <w:t>首次办理</w:t>
      </w:r>
      <w:r>
        <w:rPr>
          <w:rFonts w:hint="eastAsia" w:ascii="仿宋_GB2312" w:hAnsi="仿宋_GB2312" w:eastAsia="仿宋_GB2312" w:cs="仿宋_GB2312"/>
          <w:color w:val="auto"/>
          <w:sz w:val="32"/>
          <w:szCs w:val="32"/>
          <w:highlight w:val="none"/>
          <w:lang w:val="en-US" w:eastAsia="zh-CN"/>
        </w:rPr>
        <w:t>。引进时年龄35周岁以下，年龄计算以人才引进时间为判断时点。人才引进时间以首次引进审批文件签发日期为准</w:t>
      </w:r>
      <w:r>
        <w:rPr>
          <w:rFonts w:hint="default" w:ascii="仿宋_GB2312" w:hAnsi="仿宋_GB2312" w:eastAsia="仿宋_GB2312" w:cs="仿宋_GB2312"/>
          <w:color w:val="auto"/>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请人须在规定时间已完成办理人才引进落户深圳。首发申请时，须在申报单位工作且连续缴纳社会保险、申报工资薪金个人所得税满3个月（不含补缴，下同）；续发申请时，须仍在该申报单位工作且连续缴纳社会保险、申报工资薪金个人所得税满12个月，申报单位须与首次申请的申报单位保持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在该申报单位工作且连续缴纳社会保险、申报工资薪金个人所得税满12个月，也可一次性申领全部补贴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学历、引进身份等条件以办理引进手续时核准的信息为准。</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5.未享受同类深圳市、区级人才落户补贴政策。</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（二）申报单位条件：</w:t>
      </w:r>
    </w:p>
    <w:p>
      <w:pPr>
        <w:pStyle w:val="6"/>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lang w:eastAsia="zh-CN"/>
        </w:rPr>
      </w:pPr>
      <w:r>
        <w:rPr>
          <w:rFonts w:hint="eastAsia" w:ascii="仿宋_GB2312" w:hAnsi="仿宋_GB2312" w:eastAsia="仿宋_GB2312" w:cs="仿宋_GB2312"/>
          <w:color w:val="auto"/>
          <w:sz w:val="32"/>
          <w:szCs w:val="32"/>
          <w:highlight w:val="none"/>
          <w:lang w:val="en-US" w:eastAsia="zh-CN"/>
        </w:rPr>
        <w:t>在南山区依法从事实际经营的单位。</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color w:val="auto"/>
          <w:w w:val="90"/>
          <w:sz w:val="32"/>
          <w:highlight w:val="none"/>
          <w:lang w:eastAsia="zh-CN"/>
        </w:rPr>
      </w:pPr>
      <w:r>
        <w:rPr>
          <w:rFonts w:hint="eastAsia" w:ascii="黑体" w:hAnsi="黑体" w:eastAsia="黑体" w:cs="黑体"/>
          <w:color w:val="auto"/>
          <w:kern w:val="0"/>
          <w:sz w:val="32"/>
          <w:szCs w:val="32"/>
          <w:highlight w:val="none"/>
          <w:lang w:val="en-US" w:eastAsia="zh-CN" w:bidi="ar-SA"/>
        </w:rPr>
        <w:t>五、</w:t>
      </w:r>
      <w:r>
        <w:rPr>
          <w:rFonts w:hint="eastAsia" w:ascii="黑体" w:hAnsi="黑体" w:eastAsia="黑体" w:cs="黑体"/>
          <w:color w:val="auto"/>
          <w:sz w:val="32"/>
          <w:szCs w:val="32"/>
          <w:highlight w:val="none"/>
          <w:lang w:val="en-US" w:eastAsia="zh-CN"/>
        </w:rPr>
        <w:t>申报材料</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楷体_GB2312" w:eastAsia="楷体_GB2312" w:cs="楷体_GB2312"/>
          <w:color w:val="auto"/>
          <w:sz w:val="32"/>
          <w:szCs w:val="32"/>
          <w:highlight w:val="none"/>
          <w:vertAlign w:val="baseline"/>
          <w:lang w:val="en-US" w:eastAsia="zh-CN"/>
        </w:rPr>
      </w:pPr>
      <w:r>
        <w:rPr>
          <w:rFonts w:hint="eastAsia" w:ascii="楷体_GB2312" w:hAnsi="楷体_GB2312" w:eastAsia="楷体_GB2312" w:cs="楷体_GB2312"/>
          <w:color w:val="auto"/>
          <w:sz w:val="32"/>
          <w:szCs w:val="32"/>
          <w:highlight w:val="none"/>
          <w:vertAlign w:val="baseline"/>
          <w:lang w:eastAsia="zh-CN"/>
        </w:rPr>
        <w:t>（</w:t>
      </w:r>
      <w:r>
        <w:rPr>
          <w:rFonts w:hint="eastAsia" w:ascii="楷体_GB2312" w:hAnsi="楷体_GB2312" w:eastAsia="楷体_GB2312" w:cs="楷体_GB2312"/>
          <w:color w:val="auto"/>
          <w:sz w:val="32"/>
          <w:szCs w:val="32"/>
          <w:highlight w:val="none"/>
          <w:vertAlign w:val="baseline"/>
          <w:lang w:val="en-US" w:eastAsia="zh-CN"/>
        </w:rPr>
        <w:t>一）首发申请:</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1.教育部学历证书电子注册备案表或教育部留学服务中心国外学位学历认证书；</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2.申请人身份证、户口本、个人银行卡；</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3.人才引进审批文件（指南山区人力资源局或深圳市人力资源和社会保障局出具的人才引进通知书、归国留学人员的留学人员行政介绍信、在职人才的招调通知等）；</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4.社保部门出具的个人缴纳社会保险明细表（首发申请时须提供在申报单位连续缴纳不少于3个月的社会保险清单）；</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highlight w:val="none"/>
          <w:shd w:val="clear" w:color="auto" w:fill="FFFFFF"/>
          <w:lang w:eastAsia="zh-CN"/>
        </w:rPr>
      </w:pPr>
      <w:r>
        <w:rPr>
          <w:rFonts w:hint="eastAsia" w:ascii="仿宋_GB2312" w:hAnsi="΢���ź�" w:eastAsia="仿宋_GB2312"/>
          <w:color w:val="auto"/>
          <w:sz w:val="32"/>
          <w:szCs w:val="32"/>
          <w:highlight w:val="none"/>
          <w:shd w:val="clear" w:color="auto" w:fill="FFFFFF"/>
          <w:lang w:eastAsia="zh-CN"/>
        </w:rPr>
        <w:t>5.税务部门出具的个人所得税纳税清单-深圳（首发申请时须提供在申报单位连续缴纳不少于3个月的工资薪金个人所得税清单）；</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eastAsia="仿宋_GB2312"/>
          <w:color w:val="auto"/>
          <w:w w:val="90"/>
          <w:sz w:val="32"/>
          <w:highlight w:val="none"/>
          <w:lang w:eastAsia="zh-CN"/>
        </w:rPr>
      </w:pPr>
      <w:r>
        <w:rPr>
          <w:rFonts w:hint="eastAsia" w:ascii="仿宋_GB2312" w:hAnsi="΢���ź�" w:eastAsia="仿宋_GB2312"/>
          <w:color w:val="auto"/>
          <w:sz w:val="32"/>
          <w:szCs w:val="32"/>
          <w:highlight w:val="none"/>
          <w:shd w:val="clear" w:color="auto" w:fill="FFFFFF"/>
          <w:lang w:eastAsia="zh-CN"/>
        </w:rPr>
        <w:t>6.其他补充资料。</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楷体_GB2312" w:hAnsi="楷体_GB2312" w:eastAsia="楷体_GB2312" w:cs="楷体_GB2312"/>
          <w:color w:val="auto"/>
          <w:sz w:val="32"/>
          <w:szCs w:val="32"/>
          <w:highlight w:val="none"/>
          <w:vertAlign w:val="baseline"/>
          <w:lang w:val="en-US" w:eastAsia="zh-CN"/>
        </w:rPr>
      </w:pPr>
      <w:r>
        <w:rPr>
          <w:rFonts w:hint="eastAsia" w:ascii="楷体_GB2312" w:hAnsi="楷体_GB2312" w:eastAsia="楷体_GB2312" w:cs="楷体_GB2312"/>
          <w:color w:val="auto"/>
          <w:sz w:val="32"/>
          <w:szCs w:val="32"/>
          <w:highlight w:val="none"/>
          <w:vertAlign w:val="baseline"/>
          <w:lang w:eastAsia="zh-CN"/>
        </w:rPr>
        <w:t>（</w:t>
      </w:r>
      <w:r>
        <w:rPr>
          <w:rFonts w:hint="eastAsia" w:ascii="楷体_GB2312" w:hAnsi="楷体_GB2312" w:eastAsia="楷体_GB2312" w:cs="楷体_GB2312"/>
          <w:color w:val="auto"/>
          <w:sz w:val="32"/>
          <w:szCs w:val="32"/>
          <w:highlight w:val="none"/>
          <w:vertAlign w:val="baseline"/>
          <w:lang w:val="en-US" w:eastAsia="zh-CN"/>
        </w:rPr>
        <w:t>二）续发申请:</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val="en-US"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1.社保部门出具的个人缴纳社会保险明细表（续发申请时须提供在申报单位连续缴纳不少于12个月的社会保险清单）；</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trike w:val="0"/>
          <w:dstrike w:val="0"/>
          <w:color w:val="auto"/>
          <w:sz w:val="32"/>
          <w:szCs w:val="32"/>
          <w:highlight w:val="none"/>
          <w:vertAlign w:val="baseline"/>
          <w:lang w:val="en-US"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2.税务部门出具的个人所得税纳税清单-深圳（续发申请时须提供在申报单位连续缴纳不少于12个月的工资薪金个人所得税清单）；</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仿宋_GB2312" w:hAnsi="΢���ź�" w:eastAsia="仿宋_GB2312"/>
          <w:color w:val="auto"/>
          <w:sz w:val="32"/>
          <w:szCs w:val="32"/>
          <w:highlight w:val="none"/>
          <w:shd w:val="clear" w:color="auto" w:fill="FFFFFF"/>
          <w:lang w:eastAsia="zh-CN"/>
        </w:rPr>
      </w:pPr>
      <w:r>
        <w:rPr>
          <w:rFonts w:hint="eastAsia" w:ascii="仿宋_GB2312" w:hAnsi="仿宋_GB2312" w:eastAsia="仿宋_GB2312" w:cs="仿宋_GB2312"/>
          <w:strike w:val="0"/>
          <w:dstrike w:val="0"/>
          <w:color w:val="auto"/>
          <w:sz w:val="32"/>
          <w:szCs w:val="32"/>
          <w:highlight w:val="none"/>
          <w:vertAlign w:val="baseline"/>
          <w:lang w:val="en-US" w:eastAsia="zh-CN"/>
        </w:rPr>
        <w:t>3</w:t>
      </w: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其他补充资料。</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left"/>
        <w:textAlignment w:val="auto"/>
        <w:outlineLvl w:val="9"/>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（本项目</w:t>
      </w:r>
      <w:r>
        <w:rPr>
          <w:rFonts w:hint="eastAsia" w:ascii="楷体_GB2312" w:hAnsi="楷体_GB2312" w:eastAsia="楷体_GB2312" w:cs="楷体_GB2312"/>
          <w:color w:val="auto"/>
          <w:sz w:val="32"/>
          <w:szCs w:val="32"/>
          <w:highlight w:val="none"/>
        </w:rPr>
        <w:t>无需提交纸质材料</w:t>
      </w:r>
      <w:r>
        <w:rPr>
          <w:rFonts w:hint="eastAsia" w:ascii="楷体_GB2312" w:hAnsi="楷体_GB2312" w:eastAsia="楷体_GB2312" w:cs="楷体_GB2312"/>
          <w:color w:val="auto"/>
          <w:sz w:val="32"/>
          <w:szCs w:val="32"/>
          <w:highlight w:val="none"/>
          <w:lang w:val="en-US"/>
        </w:rPr>
        <w:t>,</w:t>
      </w:r>
      <w:r>
        <w:rPr>
          <w:rFonts w:hint="eastAsia" w:ascii="楷体_GB2312" w:hAnsi="楷体_GB2312" w:eastAsia="楷体_GB2312" w:cs="楷体_GB2312"/>
          <w:color w:val="auto"/>
          <w:sz w:val="32"/>
          <w:szCs w:val="32"/>
          <w:highlight w:val="none"/>
          <w:lang w:val="en-US" w:eastAsia="zh-CN"/>
        </w:rPr>
        <w:t>上述材料</w:t>
      </w:r>
      <w:r>
        <w:rPr>
          <w:rFonts w:hint="eastAsia" w:ascii="楷体_GB2312" w:hAnsi="楷体_GB2312" w:eastAsia="楷体_GB2312" w:cs="楷体_GB2312"/>
          <w:color w:val="auto"/>
          <w:sz w:val="32"/>
          <w:szCs w:val="32"/>
          <w:highlight w:val="none"/>
          <w:shd w:val="clear" w:color="auto" w:fill="auto"/>
          <w:lang w:eastAsia="zh-CN"/>
        </w:rPr>
        <w:t>加盖单位公章</w:t>
      </w:r>
      <w:r>
        <w:rPr>
          <w:rFonts w:hint="eastAsia" w:ascii="楷体_GB2312" w:hAnsi="楷体_GB2312" w:eastAsia="楷体_GB2312" w:cs="楷体_GB2312"/>
          <w:color w:val="auto"/>
          <w:sz w:val="32"/>
          <w:szCs w:val="32"/>
          <w:highlight w:val="none"/>
          <w:shd w:val="clear" w:color="auto" w:fill="auto"/>
          <w:lang w:val="en-US" w:eastAsia="zh-CN"/>
        </w:rPr>
        <w:t>上传</w:t>
      </w:r>
      <w:r>
        <w:rPr>
          <w:rFonts w:hint="eastAsia" w:ascii="楷体_GB2312" w:hAnsi="楷体_GB2312" w:eastAsia="楷体_GB2312" w:cs="楷体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六、办理流程</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（一）申请。申报单位登陆“i南山企业服务综合平台”（https://www.inanshan.org.cn/），网上提交申报材料；</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（二）受理。</w:t>
      </w:r>
      <w:r>
        <w:rPr>
          <w:rFonts w:hint="eastAsia" w:ascii="仿宋_GB2312" w:hAnsi="仿宋_GB2312" w:eastAsia="仿宋_GB2312" w:cs="仿宋_GB2312"/>
          <w:color w:val="auto"/>
          <w:kern w:val="0"/>
          <w:sz w:val="32"/>
          <w:szCs w:val="32"/>
          <w:highlight w:val="none"/>
          <w:lang w:eastAsia="zh-CN" w:bidi="ar-SA"/>
        </w:rPr>
        <w:t>区人力资源局每月集中受理</w:t>
      </w:r>
      <w:r>
        <w:rPr>
          <w:rFonts w:hint="eastAsia" w:ascii="仿宋_GB2312" w:hAnsi="仿宋_GB2312" w:eastAsia="仿宋_GB2312" w:cs="仿宋_GB2312"/>
          <w:color w:val="auto"/>
          <w:sz w:val="32"/>
          <w:szCs w:val="32"/>
          <w:highlight w:val="none"/>
        </w:rPr>
        <w:t>申报材料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进行</w:t>
      </w:r>
      <w:r>
        <w:rPr>
          <w:rFonts w:hint="eastAsia" w:ascii="仿宋_GB2312" w:hAnsi="仿宋_GB2312" w:eastAsia="仿宋_GB2312" w:cs="仿宋_GB2312"/>
          <w:color w:val="auto"/>
          <w:sz w:val="32"/>
          <w:szCs w:val="32"/>
          <w:highlight w:val="none"/>
        </w:rPr>
        <w:t>信息比对与核查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编制补贴资金拨付计划；</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（三）审批。区人力资源局按照相应审核程序提交会议审议；</w:t>
      </w:r>
    </w:p>
    <w:p>
      <w:pPr>
        <w:pStyle w:val="11"/>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（四）发放。经审议后，区人力资源局办理资金拨付手续到申请人个人账户，并依法为其代扣代缴个人所得税。</w:t>
      </w:r>
    </w:p>
    <w:p>
      <w:pPr>
        <w:keepNext w:val="0"/>
        <w:keepLines w:val="0"/>
        <w:pageBreakBefore w:val="0"/>
        <w:kinsoku/>
        <w:wordWrap/>
        <w:overflowPunct/>
        <w:topLinePunct w:val="0"/>
        <w:autoSpaceDE/>
        <w:autoSpaceDN/>
        <w:bidi w:val="0"/>
        <w:adjustRightInd/>
        <w:snapToGrid/>
        <w:spacing w:beforeLines="0" w:after="0" w:afterLines="0" w:line="560" w:lineRule="exact"/>
        <w:ind w:firstLine="640" w:firstLineChars="200"/>
        <w:jc w:val="both"/>
        <w:textAlignment w:val="auto"/>
        <w:outlineLvl w:val="0"/>
        <w:rPr>
          <w:rFonts w:ascii="黑体" w:hAnsi="黑体" w:eastAsia="黑体" w:cs="黑体"/>
          <w:bCs/>
          <w:color w:val="auto"/>
          <w:kern w:val="2"/>
          <w:sz w:val="32"/>
          <w:szCs w:val="32"/>
          <w:lang w:eastAsia="zh-CN" w:bidi="ar-SA"/>
        </w:rPr>
      </w:pPr>
      <w:r>
        <w:rPr>
          <w:rFonts w:hint="eastAsia" w:ascii="黑体" w:hAnsi="黑体" w:eastAsia="黑体" w:cs="黑体"/>
          <w:bCs/>
          <w:color w:val="auto"/>
          <w:kern w:val="2"/>
          <w:sz w:val="32"/>
          <w:szCs w:val="32"/>
          <w:lang w:eastAsia="zh-CN" w:bidi="ar-SA"/>
        </w:rPr>
        <w:t>七、附则</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pPr>
      <w:r>
        <w:rPr>
          <w:rFonts w:hint="default" w:ascii="仿宋_GB2312" w:hAnsi="仿宋_GB2312" w:eastAsia="仿宋_GB2312" w:cs="仿宋_GB2312"/>
          <w:b w:val="0"/>
          <w:bCs w:val="0"/>
          <w:strike w:val="0"/>
          <w:dstrike w:val="0"/>
          <w:color w:val="auto"/>
          <w:kern w:val="0"/>
          <w:sz w:val="32"/>
          <w:szCs w:val="32"/>
          <w:highlight w:val="none"/>
          <w:vertAlign w:val="baseline"/>
          <w:lang w:eastAsia="zh-CN" w:bidi="ar-SA"/>
        </w:rPr>
        <w:t>（一）</w:t>
      </w:r>
      <w:r>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t>申请人与申报单位应诚信申请生活补贴，申请信息应确保真实有效。凡申请人或申报单位通过虚构劳动关系、提供虚假信息等不正当方式</w:t>
      </w:r>
      <w:r>
        <w:rPr>
          <w:rFonts w:hint="default" w:ascii="仿宋_GB2312" w:hAnsi="仿宋_GB2312" w:eastAsia="仿宋_GB2312" w:cs="仿宋_GB2312"/>
          <w:b w:val="0"/>
          <w:bCs w:val="0"/>
          <w:strike w:val="0"/>
          <w:dstrike w:val="0"/>
          <w:color w:val="auto"/>
          <w:kern w:val="0"/>
          <w:sz w:val="32"/>
          <w:szCs w:val="32"/>
          <w:highlight w:val="none"/>
          <w:vertAlign w:val="baseline"/>
          <w:lang w:eastAsia="zh-CN" w:bidi="ar-SA"/>
        </w:rPr>
        <w:t>获取</w:t>
      </w:r>
      <w:r>
        <w:rPr>
          <w:rFonts w:hint="eastAsia" w:ascii="仿宋_GB2312" w:hAnsi="仿宋_GB2312" w:eastAsia="仿宋_GB2312" w:cs="仿宋_GB2312"/>
          <w:b w:val="0"/>
          <w:bCs w:val="0"/>
          <w:strike w:val="0"/>
          <w:dstrike w:val="0"/>
          <w:color w:val="auto"/>
          <w:kern w:val="0"/>
          <w:sz w:val="32"/>
          <w:szCs w:val="32"/>
          <w:highlight w:val="none"/>
          <w:vertAlign w:val="baseline"/>
          <w:lang w:val="en-US" w:eastAsia="zh-CN" w:bidi="ar-SA"/>
        </w:rPr>
        <w:t>生活补贴的，纳入征信体系，并依法追究有关单位和个人的责任。</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default" w:ascii="仿宋_GB2312" w:hAnsi="仿宋" w:eastAsia="仿宋_GB2312"/>
          <w:sz w:val="32"/>
          <w:szCs w:val="32"/>
          <w:lang w:eastAsia="zh-CN"/>
        </w:rPr>
        <w:t>（二）</w:t>
      </w: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w:t>
      </w:r>
      <w:r>
        <w:rPr>
          <w:rFonts w:hint="eastAsia" w:ascii="仿宋_GB2312" w:eastAsia="仿宋_GB2312"/>
          <w:color w:val="auto"/>
          <w:sz w:val="32"/>
          <w:szCs w:val="32"/>
          <w:highlight w:val="none"/>
          <w:lang w:val="en-US" w:eastAsia="zh-CN"/>
        </w:rPr>
        <w:t>人力资源</w:t>
      </w:r>
      <w:r>
        <w:rPr>
          <w:rFonts w:hint="eastAsia" w:ascii="仿宋_GB2312" w:eastAsia="仿宋_GB2312"/>
          <w:color w:val="auto"/>
          <w:sz w:val="32"/>
          <w:szCs w:val="32"/>
          <w:highlight w:val="none"/>
          <w:lang w:eastAsia="zh-CN"/>
        </w:rPr>
        <w:t>局</w:t>
      </w:r>
      <w:r>
        <w:rPr>
          <w:rFonts w:hint="eastAsia" w:ascii="仿宋_GB2312" w:hAnsi="仿宋_GB2312" w:eastAsia="仿宋_GB2312" w:cs="仿宋_GB2312"/>
          <w:color w:val="auto"/>
          <w:kern w:val="0"/>
          <w:sz w:val="32"/>
          <w:szCs w:val="32"/>
          <w:highlight w:val="none"/>
          <w:lang w:val="en-US" w:eastAsia="zh-CN" w:bidi="ar-SA"/>
        </w:rPr>
        <w:t>负责解释，自发布之日起实施。</w:t>
      </w:r>
    </w:p>
    <w:p>
      <w:pPr>
        <w:pStyle w:val="9"/>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3" w:firstLineChars="200"/>
        <w:jc w:val="both"/>
        <w:textAlignment w:val="auto"/>
        <w:rPr>
          <w:rFonts w:hint="default"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陈烈华（区人力资源局公共人才服务部）0755-86218169。</w:t>
      </w:r>
    </w:p>
    <w:p>
      <w:bookmarkStart w:id="5" w:name="_GoBack"/>
      <w:bookmarkEnd w:id="5"/>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804030504040204"/>
    <w:charset w:val="00"/>
    <w:family w:val="auto"/>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ź�">
    <w:altName w:val="苹方-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oig2w4AgAAbwQAAA4AAAAAAAAA&#10;AQAgAAAANQEAAGRycy9lMm9Eb2MueG1sUEsFBgAAAAAGAAYAWQEAAN8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- 3 -</w:t>
                    </w:r>
                    <w:r>
                      <w:rPr>
                        <w:rFonts w:hint="eastAsia" w:ascii="仿宋_GB2312" w:hAnsi="仿宋_GB2312" w:eastAsia="仿宋_GB2312" w:cs="仿宋_GB2312"/>
                        <w:sz w:val="24"/>
                        <w:szCs w:val="24"/>
                      </w:rP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F4619"/>
    <w:rsid w:val="24FF4619"/>
    <w:rsid w:val="65F22459"/>
    <w:rsid w:val="6D5B4F41"/>
    <w:rsid w:val="7CEE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pPr>
    <w:rPr>
      <w:sz w:val="18"/>
      <w:szCs w:val="18"/>
    </w:rPr>
  </w:style>
  <w:style w:type="paragraph" w:styleId="6">
    <w:name w:val="Body Text First Indent"/>
    <w:basedOn w:val="4"/>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9">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0">
    <w:name w:val="列出段落1"/>
    <w:basedOn w:val="1"/>
    <w:qFormat/>
    <w:uiPriority w:val="0"/>
    <w:pPr>
      <w:ind w:firstLine="420" w:firstLineChars="200"/>
    </w:pPr>
    <w:rPr>
      <w:rFonts w:ascii="Times New Roman" w:hAnsi="Times New Roman"/>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2025-03-25T14:41:00Z</dcterms:created>
  <dc:creator>王玮黠</dc:creator>
  <cp:lastModifiedBy>王玮黠</cp:lastModifiedBy>
  <dcterms:modified xsi:type="dcterms:W3CDTF">2025-03-25T18:42:11Z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CCF7A3170F43D3D984FEE0678B75EC19_41</vt:lpwstr>
  </property>
</Properties>
</file>