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keepLines/>
        <w:pageBreakBefore w:val="0"/>
        <w:widowControl w:val="0"/>
        <w:kinsoku/>
        <w:wordWrap/>
        <w:overflowPunct/>
        <w:topLinePunct w:val="0"/>
        <w:autoSpaceDE/>
        <w:autoSpaceDN/>
        <w:bidi w:val="0"/>
        <w:adjustRightInd/>
        <w:snapToGrid/>
        <w:spacing w:after="0" w:line="560" w:lineRule="exact"/>
        <w:jc w:val="center"/>
        <w:textAlignment w:val="auto"/>
        <w:outlineLvl w:val="0"/>
        <w:rPr>
          <w:rFonts w:hint="eastAsia" w:ascii="方正小标宋_GBK" w:hAnsi="方正小标宋_GBK" w:eastAsia="方正小标宋_GBK" w:cs="方正小标宋_GBK"/>
          <w:bCs w:val="0"/>
          <w:color w:val="auto"/>
          <w:sz w:val="44"/>
          <w:szCs w:val="44"/>
          <w:highlight w:val="none"/>
          <w:lang w:val="en-US" w:eastAsia="zh-CN" w:bidi="ar"/>
        </w:rPr>
      </w:pPr>
      <w:bookmarkStart w:id="0" w:name="_Toc1597343718"/>
      <w:bookmarkStart w:id="1" w:name="_Toc893596384"/>
      <w:bookmarkStart w:id="2" w:name="_Toc1950292410"/>
      <w:r>
        <w:rPr>
          <w:rFonts w:hint="eastAsia" w:ascii="方正小标宋_GBK" w:hAnsi="方正小标宋_GBK" w:eastAsia="方正小标宋_GBK" w:cs="方正小标宋_GBK"/>
          <w:bCs w:val="0"/>
          <w:color w:val="auto"/>
          <w:sz w:val="44"/>
          <w:szCs w:val="44"/>
          <w:highlight w:val="none"/>
          <w:lang w:val="en-US" w:eastAsia="zh-CN" w:bidi="ar"/>
        </w:rPr>
        <w:t>创投机构支持行动服务流程</w:t>
      </w:r>
      <w:bookmarkEnd w:id="0"/>
      <w:bookmarkEnd w:id="1"/>
      <w:bookmarkEnd w:id="2"/>
    </w:p>
    <w:p>
      <w:pPr>
        <w:pageBreakBefore w:val="0"/>
        <w:widowControl w:val="0"/>
        <w:kinsoku/>
        <w:wordWrap/>
        <w:overflowPunct/>
        <w:topLinePunct w:val="0"/>
        <w:autoSpaceDE/>
        <w:autoSpaceDN/>
        <w:bidi w:val="0"/>
        <w:adjustRightInd/>
        <w:snapToGrid/>
        <w:spacing w:after="0" w:line="560" w:lineRule="exact"/>
        <w:ind w:firstLine="880" w:firstLineChars="200"/>
        <w:jc w:val="both"/>
        <w:rPr>
          <w:rFonts w:hint="eastAsia" w:ascii="方正小标宋_GBK" w:hAnsi="宋体" w:eastAsia="方正小标宋_GBK" w:cs="宋体"/>
          <w:bCs/>
          <w:color w:val="auto"/>
          <w:sz w:val="44"/>
          <w:szCs w:val="44"/>
          <w:highlight w:val="none"/>
          <w:lang w:val="en-US" w:eastAsia="zh-CN" w:bidi="ar-SA"/>
        </w:rPr>
      </w:pPr>
    </w:p>
    <w:p>
      <w:pPr>
        <w:keepNext w:val="0"/>
        <w:keepLines w:val="0"/>
        <w:pageBreakBefore w:val="0"/>
        <w:kinsoku/>
        <w:wordWrap/>
        <w:overflowPunct/>
        <w:topLinePunct w:val="0"/>
        <w:autoSpaceDE/>
        <w:autoSpaceDN/>
        <w:bidi w:val="0"/>
        <w:spacing w:after="0" w:line="560" w:lineRule="exact"/>
        <w:ind w:firstLine="640" w:firstLineChars="200"/>
        <w:jc w:val="both"/>
        <w:textAlignment w:val="auto"/>
        <w:outlineLvl w:val="0"/>
        <w:rPr>
          <w:rFonts w:ascii="黑体" w:hAnsi="黑体" w:eastAsia="黑体" w:cs="黑体"/>
          <w:bCs/>
          <w:color w:val="auto"/>
          <w:kern w:val="2"/>
          <w:sz w:val="32"/>
          <w:szCs w:val="32"/>
          <w:highlight w:val="none"/>
          <w:lang w:eastAsia="zh-CN" w:bidi="ar-SA"/>
        </w:rPr>
      </w:pPr>
      <w:bookmarkStart w:id="3" w:name="_Toc387013121"/>
      <w:bookmarkStart w:id="4" w:name="_Toc1863121162"/>
      <w:bookmarkStart w:id="5" w:name="_Toc1327454171"/>
      <w:r>
        <w:rPr>
          <w:rFonts w:hint="eastAsia" w:ascii="黑体" w:hAnsi="黑体" w:eastAsia="黑体" w:cs="黑体"/>
          <w:bCs/>
          <w:color w:val="auto"/>
          <w:kern w:val="2"/>
          <w:sz w:val="32"/>
          <w:szCs w:val="32"/>
          <w:highlight w:val="none"/>
          <w:lang w:eastAsia="zh-CN" w:bidi="ar-SA"/>
        </w:rPr>
        <w:t>一、政策内容</w:t>
      </w:r>
      <w:bookmarkEnd w:id="3"/>
      <w:bookmarkEnd w:id="4"/>
      <w:bookmarkEnd w:id="5"/>
    </w:p>
    <w:p>
      <w:pPr>
        <w:pStyle w:val="5"/>
        <w:keepNext w:val="0"/>
        <w:keepLines w:val="0"/>
        <w:pageBreakBefore w:val="0"/>
        <w:numPr>
          <w:ilvl w:val="255"/>
          <w:numId w:val="0"/>
        </w:numPr>
        <w:kinsoku/>
        <w:wordWrap/>
        <w:overflowPunct/>
        <w:topLinePunct w:val="0"/>
        <w:autoSpaceDE/>
        <w:autoSpaceDN/>
        <w:bidi w:val="0"/>
        <w:spacing w:after="0" w:line="560" w:lineRule="exact"/>
        <w:ind w:firstLine="640" w:firstLineChars="200"/>
        <w:textAlignment w:val="auto"/>
        <w:rPr>
          <w:rFonts w:hint="eastAsia" w:ascii="黑体" w:hAnsi="黑体" w:eastAsia="黑体" w:cs="黑体"/>
          <w:bCs/>
          <w:color w:val="auto"/>
          <w:szCs w:val="32"/>
          <w:highlight w:val="none"/>
        </w:rPr>
      </w:pPr>
      <w:r>
        <w:rPr>
          <w:rFonts w:hint="default" w:ascii="仿宋_GB2312" w:hAnsi="仿宋_GB2312" w:eastAsia="仿宋_GB2312" w:cs="仿宋_GB2312"/>
          <w:color w:val="auto"/>
          <w:sz w:val="32"/>
          <w:szCs w:val="32"/>
          <w:highlight w:val="none"/>
          <w:lang w:val="en-US" w:eastAsia="zh-CN"/>
        </w:rPr>
        <w:t>对投资南山区企业6家及以上的创投机构，纳入南山战新投种子、天使基金的联动跟投机制，对符合条件的项目进行总额不超过1000万元的跟投</w:t>
      </w:r>
      <w:r>
        <w:rPr>
          <w:rFonts w:hint="eastAsia" w:ascii="仿宋_GB2312" w:hAnsi="仿宋_GB2312" w:eastAsia="仿宋_GB2312" w:cs="仿宋_GB2312"/>
          <w:b w:val="0"/>
          <w:bCs w:val="0"/>
          <w:strike w:val="0"/>
          <w:dstrike w:val="0"/>
          <w:color w:val="auto"/>
          <w:sz w:val="32"/>
          <w:szCs w:val="32"/>
          <w:highlight w:val="none"/>
          <w:lang w:val="en-US" w:eastAsia="zh-CN"/>
        </w:rPr>
        <w:t>。</w:t>
      </w:r>
    </w:p>
    <w:p>
      <w:pPr>
        <w:pStyle w:val="5"/>
        <w:keepNext w:val="0"/>
        <w:keepLines w:val="0"/>
        <w:pageBreakBefore w:val="0"/>
        <w:numPr>
          <w:ilvl w:val="255"/>
          <w:numId w:val="0"/>
        </w:numPr>
        <w:kinsoku/>
        <w:wordWrap/>
        <w:overflowPunct/>
        <w:topLinePunct w:val="0"/>
        <w:autoSpaceDE/>
        <w:autoSpaceDN/>
        <w:bidi w:val="0"/>
        <w:spacing w:after="0" w:line="560" w:lineRule="exact"/>
        <w:ind w:firstLine="640" w:firstLineChars="200"/>
        <w:textAlignment w:val="auto"/>
        <w:outlineLvl w:val="0"/>
        <w:rPr>
          <w:rFonts w:ascii="黑体" w:hAnsi="黑体" w:eastAsia="黑体" w:cs="黑体"/>
          <w:bCs/>
          <w:color w:val="auto"/>
          <w:szCs w:val="32"/>
          <w:highlight w:val="none"/>
        </w:rPr>
      </w:pPr>
      <w:bookmarkStart w:id="6" w:name="_Toc610168271"/>
      <w:r>
        <w:rPr>
          <w:rFonts w:hint="eastAsia" w:ascii="黑体" w:hAnsi="黑体" w:eastAsia="黑体" w:cs="黑体"/>
          <w:bCs/>
          <w:color w:val="auto"/>
          <w:szCs w:val="32"/>
          <w:highlight w:val="none"/>
        </w:rPr>
        <w:t>二、资助标准</w:t>
      </w:r>
      <w:bookmarkEnd w:id="6"/>
    </w:p>
    <w:p>
      <w:pPr>
        <w:keepNext w:val="0"/>
        <w:keepLines w:val="0"/>
        <w:pageBreakBefore w:val="0"/>
        <w:kinsoku/>
        <w:wordWrap/>
        <w:overflowPunct/>
        <w:topLinePunct w:val="0"/>
        <w:autoSpaceDE/>
        <w:autoSpaceDN/>
        <w:bidi w:val="0"/>
        <w:spacing w:after="0" w:line="560" w:lineRule="exact"/>
        <w:ind w:left="638" w:leftChars="290" w:firstLine="0" w:firstLineChars="0"/>
        <w:jc w:val="both"/>
        <w:textAlignment w:val="auto"/>
        <w:outlineLvl w:val="0"/>
        <w:rPr>
          <w:rFonts w:hint="eastAsia" w:ascii="仿宋_GB2312" w:hAnsi="仿宋_GB2312" w:eastAsia="仿宋_GB2312" w:cs="仿宋_GB2312"/>
          <w:b w:val="0"/>
          <w:bCs w:val="0"/>
          <w:strike w:val="0"/>
          <w:dstrike w:val="0"/>
          <w:color w:val="auto"/>
          <w:sz w:val="32"/>
          <w:szCs w:val="32"/>
          <w:highlight w:val="none"/>
          <w:lang w:val="en-US" w:eastAsia="zh-CN"/>
        </w:rPr>
      </w:pPr>
      <w:bookmarkStart w:id="7" w:name="_Toc1414054742"/>
      <w:bookmarkStart w:id="8" w:name="_Toc137576503"/>
      <w:bookmarkStart w:id="9" w:name="_Toc1053870763"/>
      <w:r>
        <w:rPr>
          <w:rFonts w:hint="eastAsia" w:ascii="仿宋_GB2312" w:hAnsi="仿宋_GB2312" w:eastAsia="仿宋_GB2312" w:cs="仿宋_GB2312"/>
          <w:b w:val="0"/>
          <w:bCs w:val="0"/>
          <w:strike w:val="0"/>
          <w:dstrike w:val="0"/>
          <w:color w:val="auto"/>
          <w:sz w:val="32"/>
          <w:szCs w:val="32"/>
          <w:highlight w:val="none"/>
          <w:lang w:val="en-US" w:eastAsia="zh-CN"/>
        </w:rPr>
        <w:t>对符合条件的项目进行总额不超过1000万元的跟投。</w:t>
      </w:r>
    </w:p>
    <w:p>
      <w:pPr>
        <w:keepNext w:val="0"/>
        <w:keepLines w:val="0"/>
        <w:pageBreakBefore w:val="0"/>
        <w:kinsoku/>
        <w:wordWrap/>
        <w:overflowPunct/>
        <w:topLinePunct w:val="0"/>
        <w:autoSpaceDE/>
        <w:autoSpaceDN/>
        <w:bidi w:val="0"/>
        <w:spacing w:after="0" w:line="560" w:lineRule="exact"/>
        <w:ind w:left="638" w:leftChars="290" w:firstLine="0" w:firstLineChars="0"/>
        <w:jc w:val="both"/>
        <w:textAlignment w:val="auto"/>
        <w:outlineLvl w:val="0"/>
        <w:rPr>
          <w:rFonts w:hint="eastAsia" w:ascii="黑体" w:hAnsi="黑体" w:eastAsia="黑体" w:cs="黑体"/>
          <w:bCs/>
          <w:color w:val="auto"/>
          <w:kern w:val="2"/>
          <w:sz w:val="32"/>
          <w:szCs w:val="32"/>
          <w:highlight w:val="none"/>
          <w:lang w:eastAsia="zh-CN" w:bidi="ar-SA"/>
        </w:rPr>
      </w:pPr>
      <w:r>
        <w:rPr>
          <w:rFonts w:hint="eastAsia" w:ascii="黑体" w:hAnsi="黑体" w:eastAsia="黑体" w:cs="黑体"/>
          <w:bCs/>
          <w:color w:val="auto"/>
          <w:kern w:val="2"/>
          <w:sz w:val="32"/>
          <w:szCs w:val="32"/>
          <w:highlight w:val="none"/>
          <w:lang w:eastAsia="zh-CN" w:bidi="ar-SA"/>
        </w:rPr>
        <w:t>三、设定依据</w:t>
      </w:r>
      <w:bookmarkEnd w:id="7"/>
      <w:bookmarkEnd w:id="8"/>
      <w:bookmarkEnd w:id="9"/>
    </w:p>
    <w:p>
      <w:pPr>
        <w:pStyle w:val="5"/>
        <w:keepNext w:val="0"/>
        <w:keepLines w:val="0"/>
        <w:pageBreakBefore w:val="0"/>
        <w:numPr>
          <w:ilvl w:val="-1"/>
          <w:numId w:val="0"/>
        </w:numPr>
        <w:kinsoku/>
        <w:wordWrap/>
        <w:overflowPunct/>
        <w:topLinePunct w:val="0"/>
        <w:autoSpaceDE/>
        <w:autoSpaceDN/>
        <w:bidi w:val="0"/>
        <w:spacing w:after="0" w:line="560" w:lineRule="exact"/>
        <w:ind w:left="660" w:firstLine="0" w:firstLineChars="0"/>
        <w:jc w:val="both"/>
        <w:textAlignment w:val="auto"/>
        <w:outlineLvl w:val="0"/>
        <w:rPr>
          <w:rFonts w:hint="default" w:ascii="仿宋_GB2312" w:hAnsi="Times New Roman" w:cs="Times New Roman"/>
          <w:color w:val="auto"/>
          <w:kern w:val="0"/>
          <w:sz w:val="32"/>
          <w:szCs w:val="32"/>
          <w:highlight w:val="none"/>
          <w:lang w:eastAsia="zh-CN" w:bidi="en-US"/>
        </w:rPr>
      </w:pPr>
      <w:bookmarkStart w:id="10" w:name="_Toc1044707720"/>
      <w:bookmarkStart w:id="11" w:name="_Toc1983346347"/>
      <w:bookmarkStart w:id="12" w:name="_Toc68272211"/>
      <w:r>
        <w:rPr>
          <w:rFonts w:hint="eastAsia" w:ascii="仿宋_GB2312" w:hAnsi="Times New Roman" w:eastAsia="仿宋_GB2312" w:cs="Times New Roman"/>
          <w:color w:val="auto"/>
          <w:kern w:val="0"/>
          <w:sz w:val="32"/>
          <w:szCs w:val="32"/>
          <w:highlight w:val="none"/>
          <w:lang w:val="en-US" w:eastAsia="zh-CN" w:bidi="en-US"/>
        </w:rPr>
        <w:t>《南山区支持创新创业“六个一”行动方案》</w:t>
      </w:r>
      <w:bookmarkEnd w:id="10"/>
      <w:bookmarkEnd w:id="11"/>
      <w:bookmarkEnd w:id="12"/>
      <w:r>
        <w:rPr>
          <w:rFonts w:hint="default" w:ascii="仿宋_GB2312" w:hAnsi="Times New Roman" w:cs="Times New Roman"/>
          <w:color w:val="auto"/>
          <w:kern w:val="0"/>
          <w:sz w:val="32"/>
          <w:szCs w:val="32"/>
          <w:highlight w:val="none"/>
          <w:lang w:eastAsia="zh-CN" w:bidi="en-US"/>
        </w:rPr>
        <w:t>。</w:t>
      </w:r>
    </w:p>
    <w:p>
      <w:pPr>
        <w:pStyle w:val="5"/>
        <w:keepNext w:val="0"/>
        <w:keepLines w:val="0"/>
        <w:pageBreakBefore w:val="0"/>
        <w:numPr>
          <w:ilvl w:val="-1"/>
          <w:numId w:val="0"/>
        </w:numPr>
        <w:kinsoku/>
        <w:wordWrap/>
        <w:overflowPunct/>
        <w:topLinePunct w:val="0"/>
        <w:autoSpaceDE/>
        <w:autoSpaceDN/>
        <w:bidi w:val="0"/>
        <w:spacing w:after="0" w:line="560" w:lineRule="exact"/>
        <w:ind w:left="660" w:firstLine="0" w:firstLineChars="0"/>
        <w:jc w:val="both"/>
        <w:textAlignment w:val="auto"/>
        <w:outlineLvl w:val="0"/>
        <w:rPr>
          <w:rFonts w:hint="eastAsia" w:ascii="黑体" w:hAnsi="黑体" w:eastAsia="黑体" w:cs="黑体"/>
          <w:bCs/>
          <w:color w:val="auto"/>
          <w:kern w:val="2"/>
          <w:sz w:val="32"/>
          <w:szCs w:val="32"/>
          <w:highlight w:val="none"/>
          <w:lang w:eastAsia="zh-CN" w:bidi="ar-SA"/>
        </w:rPr>
      </w:pPr>
      <w:bookmarkStart w:id="13" w:name="_Toc421035882"/>
      <w:bookmarkStart w:id="14" w:name="_Toc371587694"/>
      <w:bookmarkStart w:id="15" w:name="_Toc188215062"/>
      <w:r>
        <w:rPr>
          <w:rFonts w:hint="eastAsia" w:ascii="黑体" w:hAnsi="黑体" w:eastAsia="黑体" w:cs="黑体"/>
          <w:bCs/>
          <w:color w:val="auto"/>
          <w:kern w:val="2"/>
          <w:sz w:val="32"/>
          <w:szCs w:val="32"/>
          <w:highlight w:val="none"/>
          <w:lang w:eastAsia="zh-CN" w:bidi="ar-SA"/>
        </w:rPr>
        <w:t>四、申报对象和条件</w:t>
      </w:r>
      <w:bookmarkEnd w:id="13"/>
      <w:bookmarkEnd w:id="14"/>
      <w:bookmarkEnd w:id="15"/>
    </w:p>
    <w:p>
      <w:pPr>
        <w:spacing w:after="0" w:line="560" w:lineRule="exact"/>
        <w:ind w:firstLine="640" w:firstLineChars="200"/>
        <w:rPr>
          <w:rFonts w:hint="eastAsia" w:ascii="仿宋_GB2312" w:hAnsi="仿宋" w:eastAsia="仿宋_GB2312" w:cstheme="minorBidi"/>
          <w:color w:val="auto"/>
          <w:sz w:val="32"/>
          <w:szCs w:val="32"/>
          <w:highlight w:val="none"/>
          <w:lang w:val="en-US" w:eastAsia="zh-CN"/>
        </w:rPr>
      </w:pPr>
      <w:bookmarkStart w:id="16" w:name="_Toc941583394"/>
      <w:bookmarkStart w:id="17" w:name="_Toc1061552983"/>
      <w:bookmarkStart w:id="18" w:name="_Toc1325186406"/>
      <w:r>
        <w:rPr>
          <w:rFonts w:hint="eastAsia" w:ascii="仿宋_GB2312" w:hAnsi="仿宋" w:eastAsia="仿宋_GB2312" w:cstheme="minorBidi"/>
          <w:color w:val="auto"/>
          <w:sz w:val="32"/>
          <w:szCs w:val="32"/>
          <w:highlight w:val="none"/>
          <w:lang w:eastAsia="zh-CN"/>
        </w:rPr>
        <w:t>（一）</w:t>
      </w:r>
      <w:r>
        <w:rPr>
          <w:rFonts w:hint="eastAsia" w:ascii="仿宋_GB2312" w:hAnsi="仿宋" w:eastAsia="仿宋_GB2312" w:cstheme="minorBidi"/>
          <w:color w:val="auto"/>
          <w:sz w:val="32"/>
          <w:szCs w:val="32"/>
          <w:highlight w:val="none"/>
          <w:lang w:val="en-US" w:eastAsia="zh-CN"/>
        </w:rPr>
        <w:t>申报主体为私募基金管理人；</w:t>
      </w:r>
    </w:p>
    <w:p>
      <w:pPr>
        <w:spacing w:after="0" w:line="560" w:lineRule="exact"/>
        <w:ind w:firstLine="640" w:firstLineChars="200"/>
        <w:rPr>
          <w:rFonts w:hint="eastAsia" w:ascii="仿宋_GB2312" w:hAnsi="仿宋" w:eastAsia="仿宋_GB2312" w:cstheme="minorBidi"/>
          <w:color w:val="auto"/>
          <w:sz w:val="32"/>
          <w:szCs w:val="32"/>
          <w:highlight w:val="none"/>
          <w:lang w:val="en-US" w:eastAsia="zh-CN"/>
        </w:rPr>
      </w:pPr>
      <w:r>
        <w:rPr>
          <w:rFonts w:hint="eastAsia" w:ascii="仿宋_GB2312" w:hAnsi="仿宋" w:eastAsia="仿宋_GB2312" w:cstheme="minorBidi"/>
          <w:color w:val="auto"/>
          <w:sz w:val="32"/>
          <w:szCs w:val="32"/>
          <w:highlight w:val="none"/>
          <w:lang w:eastAsia="zh-CN"/>
        </w:rPr>
        <w:t>（</w:t>
      </w:r>
      <w:r>
        <w:rPr>
          <w:rFonts w:hint="eastAsia" w:ascii="仿宋_GB2312" w:hAnsi="仿宋" w:eastAsia="仿宋_GB2312" w:cstheme="minorBidi"/>
          <w:color w:val="auto"/>
          <w:sz w:val="32"/>
          <w:szCs w:val="32"/>
          <w:highlight w:val="none"/>
          <w:lang w:val="en-US" w:eastAsia="zh-CN"/>
        </w:rPr>
        <w:t>二</w:t>
      </w:r>
      <w:r>
        <w:rPr>
          <w:rFonts w:hint="eastAsia" w:ascii="仿宋_GB2312" w:hAnsi="仿宋" w:eastAsia="仿宋_GB2312" w:cstheme="minorBidi"/>
          <w:color w:val="auto"/>
          <w:sz w:val="32"/>
          <w:szCs w:val="32"/>
          <w:highlight w:val="none"/>
          <w:lang w:eastAsia="zh-CN"/>
        </w:rPr>
        <w:t>）</w:t>
      </w:r>
      <w:r>
        <w:rPr>
          <w:rFonts w:hint="eastAsia" w:ascii="仿宋_GB2312" w:hAnsi="仿宋" w:eastAsia="仿宋_GB2312" w:cstheme="minorBidi"/>
          <w:color w:val="auto"/>
          <w:sz w:val="32"/>
          <w:szCs w:val="32"/>
          <w:highlight w:val="none"/>
          <w:lang w:val="en-US" w:eastAsia="zh-CN"/>
        </w:rPr>
        <w:t>申报主体及其关联基金须在中国证券投资基金业协会完成管理人登记或基金备案；</w:t>
      </w:r>
    </w:p>
    <w:p>
      <w:pPr>
        <w:spacing w:after="0" w:line="560" w:lineRule="exact"/>
        <w:ind w:firstLine="640" w:firstLineChars="200"/>
        <w:rPr>
          <w:rFonts w:hint="eastAsia" w:ascii="仿宋_GB2312" w:hAnsi="仿宋" w:eastAsia="仿宋_GB2312" w:cstheme="minorBidi"/>
          <w:color w:val="auto"/>
          <w:sz w:val="32"/>
          <w:szCs w:val="32"/>
          <w:highlight w:val="none"/>
          <w:lang w:eastAsia="zh-CN"/>
        </w:rPr>
      </w:pPr>
      <w:r>
        <w:rPr>
          <w:rFonts w:hint="eastAsia" w:ascii="仿宋_GB2312" w:hAnsi="仿宋" w:eastAsia="仿宋_GB2312" w:cstheme="minorBidi"/>
          <w:color w:val="auto"/>
          <w:sz w:val="32"/>
          <w:szCs w:val="32"/>
          <w:highlight w:val="none"/>
          <w:lang w:eastAsia="zh-CN"/>
        </w:rPr>
        <w:t>（</w:t>
      </w:r>
      <w:r>
        <w:rPr>
          <w:rFonts w:hint="eastAsia" w:ascii="仿宋_GB2312" w:hAnsi="仿宋" w:eastAsia="仿宋_GB2312" w:cstheme="minorBidi"/>
          <w:color w:val="auto"/>
          <w:sz w:val="32"/>
          <w:szCs w:val="32"/>
          <w:highlight w:val="none"/>
          <w:lang w:val="en-US" w:eastAsia="zh-CN"/>
        </w:rPr>
        <w:t>三</w:t>
      </w:r>
      <w:r>
        <w:rPr>
          <w:rFonts w:hint="eastAsia" w:ascii="仿宋_GB2312" w:hAnsi="仿宋" w:eastAsia="仿宋_GB2312" w:cstheme="minorBidi"/>
          <w:color w:val="auto"/>
          <w:sz w:val="32"/>
          <w:szCs w:val="32"/>
          <w:highlight w:val="none"/>
          <w:lang w:eastAsia="zh-CN"/>
        </w:rPr>
        <w:t>）</w:t>
      </w:r>
      <w:r>
        <w:rPr>
          <w:rFonts w:hint="eastAsia" w:ascii="仿宋_GB2312" w:hAnsi="仿宋" w:eastAsia="仿宋_GB2312" w:cstheme="minorBidi"/>
          <w:color w:val="auto"/>
          <w:sz w:val="32"/>
          <w:szCs w:val="32"/>
          <w:highlight w:val="none"/>
          <w:lang w:val="en-US" w:eastAsia="zh-CN"/>
        </w:rPr>
        <w:t>申报主体或其关联基金在南山区合法经营且在2024年投资南山区非上市公司达到6家及以上。</w:t>
      </w:r>
      <w:r>
        <w:rPr>
          <w:rFonts w:hint="eastAsia" w:ascii="仿宋_GB2312" w:hAnsi="仿宋" w:eastAsia="仿宋_GB2312" w:cstheme="minorBidi"/>
          <w:color w:val="auto"/>
          <w:sz w:val="32"/>
          <w:szCs w:val="32"/>
          <w:highlight w:val="none"/>
          <w:lang w:eastAsia="zh-CN"/>
        </w:rPr>
        <w:t>投资时间以投资款汇款时间为准；</w:t>
      </w:r>
    </w:p>
    <w:p>
      <w:pPr>
        <w:spacing w:after="0" w:line="560" w:lineRule="exact"/>
        <w:ind w:firstLine="640" w:firstLineChars="200"/>
        <w:rPr>
          <w:rFonts w:hint="eastAsia" w:ascii="仿宋_GB2312" w:hAnsi="仿宋" w:eastAsia="仿宋_GB2312" w:cstheme="minorBidi"/>
          <w:color w:val="auto"/>
          <w:sz w:val="32"/>
          <w:szCs w:val="32"/>
        </w:rPr>
      </w:pPr>
      <w:r>
        <w:rPr>
          <w:rFonts w:hint="eastAsia" w:ascii="仿宋_GB2312" w:hAnsi="仿宋" w:eastAsia="仿宋_GB2312" w:cstheme="minorBidi"/>
          <w:color w:val="auto"/>
          <w:sz w:val="32"/>
          <w:szCs w:val="32"/>
          <w:highlight w:val="none"/>
          <w:lang w:val="en-US" w:eastAsia="zh-CN"/>
        </w:rPr>
        <w:t>（四）被依法依规纳入严重失信主体名单或失信惩戒措施清单的机构不予受理</w:t>
      </w:r>
      <w:r>
        <w:rPr>
          <w:rFonts w:hint="eastAsia" w:ascii="仿宋_GB2312" w:hAnsi="仿宋" w:eastAsia="仿宋_GB2312" w:cstheme="minorBidi"/>
          <w:color w:val="auto"/>
          <w:sz w:val="32"/>
          <w:szCs w:val="32"/>
          <w:highlight w:val="none"/>
          <w:lang w:eastAsia="zh-CN"/>
        </w:rPr>
        <w:t>。</w:t>
      </w:r>
    </w:p>
    <w:bookmarkEnd w:id="16"/>
    <w:bookmarkEnd w:id="17"/>
    <w:bookmarkEnd w:id="18"/>
    <w:p>
      <w:pPr>
        <w:keepNext w:val="0"/>
        <w:keepLines w:val="0"/>
        <w:pageBreakBefore w:val="0"/>
        <w:kinsoku/>
        <w:wordWrap/>
        <w:overflowPunct/>
        <w:topLinePunct w:val="0"/>
        <w:autoSpaceDE/>
        <w:autoSpaceDN/>
        <w:bidi w:val="0"/>
        <w:spacing w:after="0" w:line="560" w:lineRule="exact"/>
        <w:ind w:firstLine="640" w:firstLineChars="200"/>
        <w:jc w:val="both"/>
        <w:textAlignment w:val="auto"/>
        <w:outlineLvl w:val="0"/>
        <w:rPr>
          <w:rFonts w:ascii="黑体" w:hAnsi="黑体" w:eastAsia="黑体" w:cs="黑体"/>
          <w:bCs/>
          <w:color w:val="auto"/>
          <w:kern w:val="2"/>
          <w:sz w:val="32"/>
          <w:szCs w:val="32"/>
          <w:highlight w:val="none"/>
          <w:lang w:eastAsia="zh-CN" w:bidi="ar-SA"/>
        </w:rPr>
      </w:pPr>
      <w:bookmarkStart w:id="19" w:name="_Toc1830749162"/>
      <w:bookmarkStart w:id="20" w:name="_Toc956255251"/>
      <w:bookmarkStart w:id="21" w:name="_Toc1355614115"/>
      <w:r>
        <w:rPr>
          <w:rFonts w:hint="eastAsia" w:ascii="黑体" w:hAnsi="黑体" w:eastAsia="黑体" w:cs="黑体"/>
          <w:bCs/>
          <w:color w:val="auto"/>
          <w:kern w:val="2"/>
          <w:sz w:val="32"/>
          <w:szCs w:val="32"/>
          <w:highlight w:val="none"/>
          <w:lang w:eastAsia="zh-CN" w:bidi="ar-SA"/>
        </w:rPr>
        <w:t>五、办理流程</w:t>
      </w:r>
      <w:bookmarkEnd w:id="19"/>
      <w:bookmarkEnd w:id="20"/>
      <w:bookmarkEnd w:id="21"/>
    </w:p>
    <w:p>
      <w:pPr>
        <w:pStyle w:val="5"/>
        <w:pageBreakBefore w:val="0"/>
        <w:kinsoku/>
        <w:wordWrap/>
        <w:overflowPunct/>
        <w:topLinePunct w:val="0"/>
        <w:autoSpaceDE/>
        <w:autoSpaceDN/>
        <w:bidi w:val="0"/>
        <w:spacing w:after="0" w:line="560" w:lineRule="exact"/>
        <w:ind w:firstLine="640" w:firstLineChars="200"/>
        <w:rPr>
          <w:rFonts w:hint="eastAsia" w:ascii="楷体_GB2312" w:hAnsi="楷体_GB2312" w:eastAsia="楷体_GB2312" w:cs="楷体_GB2312"/>
          <w:b w:val="0"/>
          <w:bCs w:val="0"/>
          <w:strike w:val="0"/>
          <w:dstrike w:val="0"/>
          <w:color w:val="auto"/>
          <w:kern w:val="0"/>
          <w:sz w:val="32"/>
          <w:szCs w:val="32"/>
          <w:highlight w:val="none"/>
          <w:lang w:val="en-US" w:eastAsia="zh-CN" w:bidi="ar-SA"/>
        </w:rPr>
      </w:pPr>
      <w:r>
        <w:rPr>
          <w:rFonts w:hint="eastAsia" w:ascii="楷体_GB2312" w:hAnsi="楷体_GB2312" w:eastAsia="楷体_GB2312" w:cs="楷体_GB2312"/>
          <w:b w:val="0"/>
          <w:bCs w:val="0"/>
          <w:strike w:val="0"/>
          <w:dstrike w:val="0"/>
          <w:color w:val="auto"/>
          <w:kern w:val="0"/>
          <w:sz w:val="32"/>
          <w:szCs w:val="32"/>
          <w:highlight w:val="none"/>
          <w:lang w:val="en-US" w:eastAsia="zh-CN" w:bidi="ar-SA"/>
        </w:rPr>
        <w:t>（一）创投机构资格认定</w:t>
      </w:r>
    </w:p>
    <w:p>
      <w:pPr>
        <w:pStyle w:val="5"/>
        <w:pageBreakBefore w:val="0"/>
        <w:kinsoku/>
        <w:wordWrap/>
        <w:overflowPunct/>
        <w:topLinePunct w:val="0"/>
        <w:autoSpaceDE/>
        <w:autoSpaceDN/>
        <w:bidi w:val="0"/>
        <w:spacing w:after="0" w:line="560" w:lineRule="exact"/>
        <w:ind w:firstLine="640" w:firstLineChars="200"/>
        <w:rPr>
          <w:rFonts w:hint="eastAsia" w:ascii="仿宋_GB2312" w:hAnsi="仿宋_GB2312" w:cs="仿宋_GB2312"/>
          <w:b w:val="0"/>
          <w:bCs w:val="0"/>
          <w:strike w:val="0"/>
          <w:dstrike w:val="0"/>
          <w:color w:val="auto"/>
          <w:kern w:val="2"/>
          <w:sz w:val="32"/>
          <w:szCs w:val="32"/>
          <w:highlight w:val="none"/>
          <w:lang w:val="en-US" w:eastAsia="zh-CN" w:bidi="ar-SA"/>
        </w:rPr>
      </w:pPr>
      <w:r>
        <w:rPr>
          <w:rFonts w:hint="eastAsia" w:ascii="仿宋_GB2312" w:hAnsi="仿宋_GB2312" w:cs="仿宋_GB2312"/>
          <w:b w:val="0"/>
          <w:bCs w:val="0"/>
          <w:strike w:val="0"/>
          <w:dstrike w:val="0"/>
          <w:color w:val="auto"/>
          <w:kern w:val="2"/>
          <w:sz w:val="32"/>
          <w:szCs w:val="32"/>
          <w:highlight w:val="none"/>
          <w:lang w:val="en-US" w:eastAsia="zh-CN" w:bidi="ar-SA"/>
        </w:rPr>
        <w:t>1.申报主体登陆“i南山企业服务综合平台”（https://www.inanshan.org.cn/），网上提交项目申报材料；</w:t>
      </w:r>
    </w:p>
    <w:p>
      <w:pPr>
        <w:pStyle w:val="5"/>
        <w:pageBreakBefore w:val="0"/>
        <w:kinsoku/>
        <w:wordWrap/>
        <w:overflowPunct/>
        <w:topLinePunct w:val="0"/>
        <w:autoSpaceDE/>
        <w:autoSpaceDN/>
        <w:bidi w:val="0"/>
        <w:spacing w:after="0" w:line="560" w:lineRule="exact"/>
        <w:ind w:firstLine="640" w:firstLineChars="200"/>
        <w:rPr>
          <w:rFonts w:hint="eastAsia" w:ascii="仿宋_GB2312" w:hAnsi="仿宋_GB2312" w:cs="仿宋_GB2312"/>
          <w:b w:val="0"/>
          <w:bCs w:val="0"/>
          <w:strike w:val="0"/>
          <w:dstrike w:val="0"/>
          <w:color w:val="auto"/>
          <w:kern w:val="2"/>
          <w:sz w:val="32"/>
          <w:szCs w:val="32"/>
          <w:highlight w:val="none"/>
          <w:lang w:val="en-US" w:eastAsia="zh-CN" w:bidi="ar-SA"/>
        </w:rPr>
      </w:pPr>
      <w:r>
        <w:rPr>
          <w:rFonts w:hint="eastAsia" w:ascii="仿宋_GB2312" w:hAnsi="仿宋_GB2312" w:cs="仿宋_GB2312"/>
          <w:b w:val="0"/>
          <w:bCs w:val="0"/>
          <w:strike w:val="0"/>
          <w:dstrike w:val="0"/>
          <w:color w:val="auto"/>
          <w:kern w:val="2"/>
          <w:sz w:val="32"/>
          <w:szCs w:val="32"/>
          <w:highlight w:val="none"/>
          <w:lang w:val="en-US" w:eastAsia="zh-CN" w:bidi="ar-SA"/>
        </w:rPr>
        <w:t>2.区企业发展服务中心受理申请，对申报材料进行形式性审核，区金融发展服务中心、南山战新投公司共同复审项目申报材料；</w:t>
      </w:r>
    </w:p>
    <w:p>
      <w:pPr>
        <w:pStyle w:val="5"/>
        <w:pageBreakBefore w:val="0"/>
        <w:kinsoku/>
        <w:wordWrap/>
        <w:overflowPunct/>
        <w:topLinePunct w:val="0"/>
        <w:autoSpaceDE/>
        <w:autoSpaceDN/>
        <w:bidi w:val="0"/>
        <w:spacing w:after="0" w:line="560" w:lineRule="exact"/>
        <w:ind w:firstLine="640" w:firstLineChars="200"/>
        <w:rPr>
          <w:rFonts w:hint="eastAsia" w:ascii="楷体_GB2312" w:hAnsi="楷体_GB2312" w:eastAsia="楷体_GB2312" w:cs="楷体_GB2312"/>
          <w:b w:val="0"/>
          <w:bCs w:val="0"/>
          <w:strike w:val="0"/>
          <w:dstrike w:val="0"/>
          <w:color w:val="auto"/>
          <w:kern w:val="0"/>
          <w:sz w:val="32"/>
          <w:szCs w:val="32"/>
          <w:highlight w:val="none"/>
          <w:lang w:val="en-US" w:eastAsia="zh-CN" w:bidi="ar-SA"/>
        </w:rPr>
      </w:pPr>
      <w:r>
        <w:rPr>
          <w:rFonts w:hint="eastAsia" w:ascii="楷体_GB2312" w:hAnsi="楷体_GB2312" w:eastAsia="楷体_GB2312" w:cs="楷体_GB2312"/>
          <w:b w:val="0"/>
          <w:bCs w:val="0"/>
          <w:strike w:val="0"/>
          <w:dstrike w:val="0"/>
          <w:color w:val="auto"/>
          <w:kern w:val="0"/>
          <w:sz w:val="32"/>
          <w:szCs w:val="32"/>
          <w:highlight w:val="none"/>
          <w:lang w:val="en-US" w:eastAsia="zh-CN" w:bidi="ar-SA"/>
        </w:rPr>
        <w:t>（二）创投机构推荐跟投项目</w:t>
      </w:r>
    </w:p>
    <w:p>
      <w:pPr>
        <w:pStyle w:val="5"/>
        <w:pageBreakBefore w:val="0"/>
        <w:kinsoku/>
        <w:wordWrap/>
        <w:overflowPunct/>
        <w:topLinePunct w:val="0"/>
        <w:autoSpaceDE/>
        <w:autoSpaceDN/>
        <w:bidi w:val="0"/>
        <w:spacing w:after="0" w:line="560" w:lineRule="exact"/>
        <w:ind w:firstLine="640" w:firstLineChars="200"/>
        <w:rPr>
          <w:rFonts w:hint="eastAsia" w:ascii="仿宋_GB2312" w:hAnsi="仿宋_GB2312" w:cs="仿宋_GB2312"/>
          <w:b w:val="0"/>
          <w:bCs w:val="0"/>
          <w:strike w:val="0"/>
          <w:dstrike w:val="0"/>
          <w:color w:val="auto"/>
          <w:kern w:val="2"/>
          <w:sz w:val="32"/>
          <w:szCs w:val="32"/>
          <w:highlight w:val="none"/>
          <w:lang w:val="en-US" w:eastAsia="zh-CN" w:bidi="ar-SA"/>
        </w:rPr>
      </w:pPr>
      <w:r>
        <w:rPr>
          <w:rFonts w:hint="eastAsia" w:ascii="仿宋_GB2312" w:hAnsi="仿宋_GB2312" w:cs="仿宋_GB2312"/>
          <w:b w:val="0"/>
          <w:bCs w:val="0"/>
          <w:strike w:val="0"/>
          <w:dstrike w:val="0"/>
          <w:color w:val="auto"/>
          <w:kern w:val="2"/>
          <w:sz w:val="32"/>
          <w:szCs w:val="32"/>
          <w:highlight w:val="none"/>
          <w:lang w:val="en-US" w:eastAsia="zh-CN" w:bidi="ar-SA"/>
        </w:rPr>
        <w:t>3.经复核通过后，申报主体可在i南山企业服务综合平台—“优质项目招募（创投机构推荐）”填写项目信息，由产业部门根据产业领域受理及初筛，报区联席会议讨论决策确定项目清单；</w:t>
      </w:r>
    </w:p>
    <w:p>
      <w:pPr>
        <w:pStyle w:val="5"/>
        <w:pageBreakBefore w:val="0"/>
        <w:kinsoku/>
        <w:wordWrap/>
        <w:overflowPunct/>
        <w:topLinePunct w:val="0"/>
        <w:autoSpaceDE/>
        <w:autoSpaceDN/>
        <w:bidi w:val="0"/>
        <w:spacing w:after="0" w:line="560" w:lineRule="exact"/>
        <w:ind w:firstLine="640" w:firstLineChars="200"/>
        <w:rPr>
          <w:rFonts w:hint="eastAsia" w:ascii="仿宋_GB2312" w:hAnsi="仿宋_GB2312" w:cs="仿宋_GB2312"/>
          <w:b w:val="0"/>
          <w:bCs w:val="0"/>
          <w:strike w:val="0"/>
          <w:dstrike w:val="0"/>
          <w:color w:val="auto"/>
          <w:kern w:val="2"/>
          <w:sz w:val="32"/>
          <w:szCs w:val="32"/>
          <w:highlight w:val="none"/>
          <w:lang w:val="en-US" w:eastAsia="zh-CN" w:bidi="ar-SA"/>
        </w:rPr>
      </w:pPr>
      <w:r>
        <w:rPr>
          <w:rFonts w:hint="eastAsia" w:ascii="仿宋_GB2312" w:hAnsi="仿宋_GB2312" w:cs="仿宋_GB2312"/>
          <w:b w:val="0"/>
          <w:bCs w:val="0"/>
          <w:strike w:val="0"/>
          <w:dstrike w:val="0"/>
          <w:color w:val="auto"/>
          <w:kern w:val="2"/>
          <w:sz w:val="32"/>
          <w:szCs w:val="32"/>
          <w:highlight w:val="none"/>
          <w:lang w:val="en-US" w:eastAsia="zh-CN" w:bidi="ar-SA"/>
        </w:rPr>
        <w:t>4.立项环节：</w:t>
      </w:r>
      <w:r>
        <w:rPr>
          <w:rFonts w:hint="eastAsia" w:ascii="仿宋_GB2312" w:hAnsi="仿宋_GB2312" w:eastAsia="仿宋_GB2312" w:cs="仿宋_GB2312"/>
          <w:b w:val="0"/>
          <w:bCs w:val="0"/>
          <w:strike w:val="0"/>
          <w:dstrike w:val="0"/>
          <w:color w:val="auto"/>
          <w:kern w:val="2"/>
          <w:sz w:val="32"/>
          <w:szCs w:val="32"/>
          <w:highlight w:val="none"/>
          <w:lang w:val="en-US" w:eastAsia="zh-CN" w:bidi="ar-SA"/>
        </w:rPr>
        <w:t>对经认定的项目，简化立项程序，南山战新投</w:t>
      </w:r>
      <w:r>
        <w:rPr>
          <w:rFonts w:hint="eastAsia" w:ascii="仿宋_GB2312" w:hAnsi="仿宋_GB2312" w:cs="仿宋_GB2312"/>
          <w:b w:val="0"/>
          <w:bCs w:val="0"/>
          <w:strike w:val="0"/>
          <w:dstrike w:val="0"/>
          <w:color w:val="auto"/>
          <w:kern w:val="2"/>
          <w:sz w:val="32"/>
          <w:szCs w:val="32"/>
          <w:highlight w:val="none"/>
          <w:lang w:val="en-US" w:eastAsia="zh-CN" w:bidi="ar-SA"/>
        </w:rPr>
        <w:t>公司</w:t>
      </w:r>
      <w:r>
        <w:rPr>
          <w:rFonts w:hint="eastAsia" w:ascii="仿宋_GB2312" w:hAnsi="仿宋_GB2312" w:eastAsia="仿宋_GB2312" w:cs="仿宋_GB2312"/>
          <w:b w:val="0"/>
          <w:bCs w:val="0"/>
          <w:strike w:val="0"/>
          <w:dstrike w:val="0"/>
          <w:color w:val="auto"/>
          <w:kern w:val="2"/>
          <w:sz w:val="32"/>
          <w:szCs w:val="32"/>
          <w:highlight w:val="none"/>
          <w:lang w:val="en-US" w:eastAsia="zh-CN" w:bidi="ar-SA"/>
        </w:rPr>
        <w:t>根据区联席会议纪要确定的项目清单直接视同完成立项手续；</w:t>
      </w:r>
    </w:p>
    <w:p>
      <w:pPr>
        <w:pStyle w:val="5"/>
        <w:pageBreakBefore w:val="0"/>
        <w:kinsoku/>
        <w:wordWrap/>
        <w:overflowPunct/>
        <w:topLinePunct w:val="0"/>
        <w:autoSpaceDE/>
        <w:autoSpaceDN/>
        <w:bidi w:val="0"/>
        <w:spacing w:after="0" w:line="560" w:lineRule="exact"/>
        <w:ind w:firstLine="640" w:firstLineChars="200"/>
        <w:rPr>
          <w:rFonts w:hint="eastAsia" w:ascii="仿宋_GB2312" w:hAnsi="仿宋_GB2312" w:cs="仿宋_GB2312"/>
          <w:b w:val="0"/>
          <w:bCs w:val="0"/>
          <w:strike w:val="0"/>
          <w:dstrike w:val="0"/>
          <w:color w:val="auto"/>
          <w:kern w:val="2"/>
          <w:sz w:val="32"/>
          <w:szCs w:val="32"/>
          <w:highlight w:val="none"/>
          <w:lang w:val="en-US" w:eastAsia="zh-CN" w:bidi="ar-SA"/>
        </w:rPr>
      </w:pPr>
      <w:r>
        <w:rPr>
          <w:rFonts w:hint="eastAsia" w:ascii="仿宋_GB2312" w:hAnsi="仿宋_GB2312" w:cs="仿宋_GB2312"/>
          <w:b w:val="0"/>
          <w:bCs w:val="0"/>
          <w:strike w:val="0"/>
          <w:dstrike w:val="0"/>
          <w:color w:val="auto"/>
          <w:kern w:val="2"/>
          <w:sz w:val="32"/>
          <w:szCs w:val="32"/>
          <w:highlight w:val="none"/>
          <w:lang w:val="en-US" w:eastAsia="zh-CN" w:bidi="ar-SA"/>
        </w:rPr>
        <w:t>5.尽调环节：区属国有企业、区产业部门联合尽调；</w:t>
      </w:r>
    </w:p>
    <w:p>
      <w:pPr>
        <w:pStyle w:val="5"/>
        <w:pageBreakBefore w:val="0"/>
        <w:kinsoku/>
        <w:wordWrap/>
        <w:overflowPunct/>
        <w:topLinePunct w:val="0"/>
        <w:autoSpaceDE/>
        <w:autoSpaceDN/>
        <w:bidi w:val="0"/>
        <w:spacing w:after="0" w:line="560" w:lineRule="exact"/>
        <w:ind w:firstLine="640" w:firstLineChars="200"/>
        <w:rPr>
          <w:rFonts w:hint="default" w:ascii="仿宋_GB2312" w:hAnsi="仿宋_GB2312" w:cs="仿宋_GB2312"/>
          <w:b w:val="0"/>
          <w:bCs w:val="0"/>
          <w:strike w:val="0"/>
          <w:dstrike w:val="0"/>
          <w:color w:val="auto"/>
          <w:kern w:val="2"/>
          <w:sz w:val="32"/>
          <w:szCs w:val="32"/>
          <w:highlight w:val="none"/>
          <w:lang w:val="en-US" w:eastAsia="zh-CN" w:bidi="ar-SA"/>
        </w:rPr>
      </w:pPr>
      <w:r>
        <w:rPr>
          <w:rFonts w:hint="eastAsia" w:ascii="仿宋_GB2312" w:hAnsi="仿宋_GB2312" w:cs="仿宋_GB2312"/>
          <w:b w:val="0"/>
          <w:bCs w:val="0"/>
          <w:strike w:val="0"/>
          <w:dstrike w:val="0"/>
          <w:color w:val="auto"/>
          <w:kern w:val="2"/>
          <w:sz w:val="32"/>
          <w:szCs w:val="32"/>
          <w:highlight w:val="none"/>
          <w:lang w:val="en-US" w:eastAsia="zh-CN" w:bidi="ar-SA"/>
        </w:rPr>
        <w:t>6.投决环节：区财政局（国资局）、区属国有企业、区产业部门共同参与投决，并按各自职责签订投资协议、产业合作协议等文件后实现交割，后续联合完成投后管理工作。</w:t>
      </w:r>
    </w:p>
    <w:p>
      <w:pPr>
        <w:widowControl/>
        <w:spacing w:after="0" w:line="560" w:lineRule="exact"/>
        <w:ind w:firstLine="640" w:firstLineChars="200"/>
        <w:rPr>
          <w:rFonts w:hint="eastAsia" w:ascii="黑体" w:hAnsi="黑体" w:eastAsia="黑体" w:cstheme="minorBidi"/>
          <w:color w:val="auto"/>
          <w:sz w:val="32"/>
          <w:szCs w:val="32"/>
        </w:rPr>
      </w:pPr>
      <w:bookmarkStart w:id="22" w:name="_Toc1677115151"/>
      <w:bookmarkStart w:id="23" w:name="_Toc1541738622"/>
      <w:bookmarkStart w:id="24" w:name="_Toc1481677326"/>
      <w:r>
        <w:rPr>
          <w:rFonts w:hint="eastAsia" w:ascii="黑体" w:hAnsi="黑体" w:eastAsia="黑体" w:cstheme="minorBidi"/>
          <w:color w:val="auto"/>
          <w:sz w:val="32"/>
          <w:szCs w:val="32"/>
          <w:lang w:val="en-US" w:eastAsia="zh-CN"/>
        </w:rPr>
        <w:t>六</w:t>
      </w:r>
      <w:r>
        <w:rPr>
          <w:rFonts w:hint="eastAsia" w:ascii="黑体" w:hAnsi="黑体" w:eastAsia="黑体" w:cstheme="minorBidi"/>
          <w:color w:val="auto"/>
          <w:sz w:val="32"/>
          <w:szCs w:val="32"/>
        </w:rPr>
        <w:t>、申请材料</w:t>
      </w:r>
    </w:p>
    <w:p>
      <w:pPr>
        <w:spacing w:after="0" w:line="560" w:lineRule="exact"/>
        <w:ind w:firstLine="640" w:firstLineChars="200"/>
        <w:rPr>
          <w:rFonts w:hint="eastAsia" w:ascii="仿宋_GB2312" w:hAnsi="仿宋" w:eastAsia="仿宋_GB2312" w:cstheme="minorBidi"/>
          <w:color w:val="auto"/>
          <w:sz w:val="32"/>
          <w:szCs w:val="32"/>
          <w:lang w:eastAsia="zh-CN"/>
        </w:rPr>
      </w:pPr>
      <w:r>
        <w:rPr>
          <w:rFonts w:hint="eastAsia" w:ascii="仿宋_GB2312" w:hAnsi="仿宋" w:eastAsia="仿宋_GB2312" w:cstheme="minorBidi"/>
          <w:color w:val="auto"/>
          <w:sz w:val="32"/>
          <w:szCs w:val="32"/>
          <w:lang w:eastAsia="zh-CN"/>
        </w:rPr>
        <w:t>（一）</w:t>
      </w:r>
      <w:r>
        <w:rPr>
          <w:rFonts w:hint="eastAsia" w:ascii="仿宋_GB2312" w:hAnsi="仿宋" w:eastAsia="仿宋_GB2312" w:cstheme="minorBidi"/>
          <w:color w:val="auto"/>
          <w:sz w:val="32"/>
          <w:szCs w:val="32"/>
          <w:lang w:val="en-US" w:eastAsia="zh-CN"/>
        </w:rPr>
        <w:t>申报主体</w:t>
      </w:r>
      <w:r>
        <w:rPr>
          <w:rFonts w:hint="eastAsia" w:ascii="仿宋_GB2312" w:hAnsi="仿宋" w:eastAsia="仿宋_GB2312" w:cstheme="minorBidi"/>
          <w:color w:val="auto"/>
          <w:sz w:val="32"/>
          <w:szCs w:val="32"/>
          <w:lang w:eastAsia="zh-CN"/>
        </w:rPr>
        <w:t>统一社会信用代码证书（原件彩色扫描成PDF文件上传）；</w:t>
      </w:r>
    </w:p>
    <w:p>
      <w:pPr>
        <w:spacing w:after="0" w:line="560" w:lineRule="exact"/>
        <w:ind w:firstLine="640" w:firstLineChars="200"/>
        <w:rPr>
          <w:rFonts w:hint="eastAsia" w:ascii="仿宋_GB2312" w:hAnsi="仿宋" w:eastAsia="仿宋_GB2312" w:cstheme="minorBidi"/>
          <w:color w:val="auto"/>
          <w:sz w:val="32"/>
          <w:szCs w:val="32"/>
          <w:lang w:eastAsia="zh-CN"/>
        </w:rPr>
      </w:pPr>
      <w:r>
        <w:rPr>
          <w:rFonts w:hint="eastAsia" w:ascii="仿宋_GB2312" w:hAnsi="仿宋" w:eastAsia="仿宋_GB2312" w:cstheme="minorBidi"/>
          <w:color w:val="auto"/>
          <w:sz w:val="32"/>
          <w:szCs w:val="32"/>
          <w:lang w:eastAsia="zh-CN"/>
        </w:rPr>
        <w:t>（</w:t>
      </w:r>
      <w:r>
        <w:rPr>
          <w:rFonts w:hint="eastAsia" w:ascii="仿宋_GB2312" w:hAnsi="仿宋" w:eastAsia="仿宋_GB2312" w:cstheme="minorBidi"/>
          <w:color w:val="auto"/>
          <w:sz w:val="32"/>
          <w:szCs w:val="32"/>
          <w:lang w:val="en-US" w:eastAsia="zh-CN"/>
        </w:rPr>
        <w:t>二</w:t>
      </w:r>
      <w:r>
        <w:rPr>
          <w:rFonts w:hint="eastAsia" w:ascii="仿宋_GB2312" w:hAnsi="仿宋" w:eastAsia="仿宋_GB2312" w:cstheme="minorBidi"/>
          <w:color w:val="auto"/>
          <w:sz w:val="32"/>
          <w:szCs w:val="32"/>
          <w:lang w:eastAsia="zh-CN"/>
        </w:rPr>
        <w:t>）法定代表人身份证[原件（或复印件加盖单位公章）彩色扫描成PDF文件上传]；</w:t>
      </w:r>
    </w:p>
    <w:p>
      <w:pPr>
        <w:spacing w:after="0" w:line="560" w:lineRule="exact"/>
        <w:ind w:firstLine="640" w:firstLineChars="200"/>
        <w:rPr>
          <w:rFonts w:hint="eastAsia" w:ascii="仿宋_GB2312" w:hAnsi="仿宋" w:eastAsia="仿宋_GB2312" w:cstheme="minorBidi"/>
          <w:color w:val="auto"/>
          <w:sz w:val="32"/>
          <w:szCs w:val="32"/>
          <w:lang w:eastAsia="zh-CN"/>
        </w:rPr>
      </w:pPr>
      <w:r>
        <w:rPr>
          <w:rFonts w:hint="eastAsia" w:ascii="仿宋_GB2312" w:hAnsi="仿宋" w:eastAsia="仿宋_GB2312" w:cstheme="minorBidi"/>
          <w:color w:val="auto"/>
          <w:sz w:val="32"/>
          <w:szCs w:val="32"/>
          <w:lang w:eastAsia="zh-CN"/>
        </w:rPr>
        <w:t>（</w:t>
      </w:r>
      <w:r>
        <w:rPr>
          <w:rFonts w:hint="eastAsia" w:ascii="仿宋_GB2312" w:hAnsi="仿宋" w:eastAsia="仿宋_GB2312" w:cstheme="minorBidi"/>
          <w:color w:val="auto"/>
          <w:sz w:val="32"/>
          <w:szCs w:val="32"/>
          <w:lang w:val="en-US" w:eastAsia="zh-CN"/>
        </w:rPr>
        <w:t>三</w:t>
      </w:r>
      <w:r>
        <w:rPr>
          <w:rFonts w:hint="eastAsia" w:ascii="仿宋_GB2312" w:hAnsi="仿宋" w:eastAsia="仿宋_GB2312" w:cstheme="minorBidi"/>
          <w:color w:val="auto"/>
          <w:sz w:val="32"/>
          <w:szCs w:val="32"/>
          <w:lang w:eastAsia="zh-CN"/>
        </w:rPr>
        <w:t>）中国证券投资基金业协会管理人登记公示信息[中基协官网公示信息（加盖公章）彩色扫描上传]；</w:t>
      </w:r>
    </w:p>
    <w:p>
      <w:pPr>
        <w:spacing w:after="0" w:line="560" w:lineRule="exact"/>
        <w:ind w:firstLine="640" w:firstLineChars="200"/>
        <w:rPr>
          <w:rFonts w:hint="eastAsia" w:ascii="仿宋_GB2312" w:hAnsi="仿宋" w:eastAsia="仿宋_GB2312" w:cstheme="minorBidi"/>
          <w:color w:val="auto"/>
          <w:sz w:val="32"/>
          <w:szCs w:val="32"/>
          <w:lang w:eastAsia="zh-CN"/>
        </w:rPr>
      </w:pPr>
      <w:r>
        <w:rPr>
          <w:rFonts w:hint="eastAsia" w:ascii="仿宋_GB2312" w:hAnsi="仿宋" w:eastAsia="仿宋_GB2312" w:cstheme="minorBidi"/>
          <w:color w:val="auto"/>
          <w:sz w:val="32"/>
          <w:szCs w:val="32"/>
          <w:lang w:eastAsia="zh-CN"/>
        </w:rPr>
        <w:t>（</w:t>
      </w:r>
      <w:r>
        <w:rPr>
          <w:rFonts w:hint="eastAsia" w:ascii="仿宋_GB2312" w:hAnsi="仿宋" w:eastAsia="仿宋_GB2312" w:cstheme="minorBidi"/>
          <w:color w:val="auto"/>
          <w:sz w:val="32"/>
          <w:szCs w:val="32"/>
          <w:lang w:val="en-US" w:eastAsia="zh-CN"/>
        </w:rPr>
        <w:t>四</w:t>
      </w:r>
      <w:r>
        <w:rPr>
          <w:rFonts w:hint="eastAsia" w:ascii="仿宋_GB2312" w:hAnsi="仿宋" w:eastAsia="仿宋_GB2312" w:cstheme="minorBidi"/>
          <w:color w:val="auto"/>
          <w:sz w:val="32"/>
          <w:szCs w:val="32"/>
          <w:lang w:eastAsia="zh-CN"/>
        </w:rPr>
        <w:t>）项目投资证明[包括：1.投资项目明细表（加盖申报主体公章）；2.投资协议；3.打款银行回单；4.</w:t>
      </w:r>
      <w:r>
        <w:rPr>
          <w:rFonts w:hint="eastAsia" w:ascii="仿宋_GB2312" w:hAnsi="仿宋" w:eastAsia="仿宋_GB2312" w:cstheme="minorBidi"/>
          <w:color w:val="auto"/>
          <w:sz w:val="32"/>
          <w:szCs w:val="32"/>
          <w:lang w:val="en-US" w:eastAsia="zh-CN"/>
        </w:rPr>
        <w:t>被</w:t>
      </w:r>
      <w:r>
        <w:rPr>
          <w:rFonts w:hint="eastAsia" w:ascii="仿宋_GB2312" w:hAnsi="仿宋" w:eastAsia="仿宋_GB2312" w:cstheme="minorBidi"/>
          <w:color w:val="auto"/>
          <w:sz w:val="32"/>
          <w:szCs w:val="32"/>
          <w:lang w:eastAsia="zh-CN"/>
        </w:rPr>
        <w:t>投企业营业执照（加盖企业公章）</w:t>
      </w:r>
      <w:r>
        <w:rPr>
          <w:rFonts w:hint="eastAsia" w:ascii="仿宋_GB2312" w:hAnsi="仿宋" w:eastAsia="仿宋_GB2312" w:cstheme="minorBidi"/>
          <w:color w:val="auto"/>
          <w:sz w:val="32"/>
          <w:szCs w:val="32"/>
          <w:lang w:val="en-US" w:eastAsia="zh-CN"/>
        </w:rPr>
        <w:t>]</w:t>
      </w:r>
      <w:r>
        <w:rPr>
          <w:rFonts w:hint="eastAsia" w:ascii="仿宋_GB2312" w:hAnsi="仿宋" w:eastAsia="仿宋_GB2312" w:cstheme="minorBidi"/>
          <w:color w:val="auto"/>
          <w:sz w:val="32"/>
          <w:szCs w:val="32"/>
          <w:lang w:eastAsia="zh-CN"/>
        </w:rPr>
        <w:t>。</w:t>
      </w:r>
    </w:p>
    <w:p>
      <w:pPr>
        <w:keepNext w:val="0"/>
        <w:keepLines w:val="0"/>
        <w:pageBreakBefore w:val="0"/>
        <w:kinsoku/>
        <w:wordWrap/>
        <w:overflowPunct/>
        <w:topLinePunct w:val="0"/>
        <w:autoSpaceDE/>
        <w:autoSpaceDN/>
        <w:bidi w:val="0"/>
        <w:adjustRightInd/>
        <w:snapToGrid/>
        <w:spacing w:after="0" w:line="560" w:lineRule="exact"/>
        <w:ind w:firstLine="640" w:firstLineChars="200"/>
        <w:jc w:val="both"/>
        <w:textAlignment w:val="auto"/>
        <w:outlineLvl w:val="0"/>
        <w:rPr>
          <w:rFonts w:hint="eastAsia" w:ascii="仿宋_GB2312" w:hAnsi="仿宋" w:eastAsia="仿宋_GB2312" w:cstheme="minorBidi"/>
          <w:color w:val="auto"/>
          <w:sz w:val="32"/>
          <w:szCs w:val="32"/>
        </w:rPr>
      </w:pPr>
      <w:r>
        <w:rPr>
          <w:rFonts w:hint="eastAsia" w:ascii="仿宋_GB2312" w:hAnsi="仿宋" w:eastAsia="仿宋_GB2312" w:cstheme="minorBidi"/>
          <w:color w:val="auto"/>
          <w:sz w:val="32"/>
          <w:szCs w:val="32"/>
        </w:rPr>
        <w:t>注：本项目无需提交纸质件</w:t>
      </w:r>
      <w:r>
        <w:rPr>
          <w:rFonts w:hint="eastAsia" w:ascii="仿宋_GB2312" w:hAnsi="仿宋" w:eastAsia="仿宋_GB2312" w:cstheme="minorBidi"/>
          <w:color w:val="auto"/>
          <w:sz w:val="32"/>
          <w:szCs w:val="32"/>
          <w:lang w:eastAsia="zh-CN"/>
        </w:rPr>
        <w:t>。</w:t>
      </w:r>
    </w:p>
    <w:p>
      <w:pPr>
        <w:keepNext w:val="0"/>
        <w:keepLines w:val="0"/>
        <w:pageBreakBefore w:val="0"/>
        <w:kinsoku/>
        <w:wordWrap/>
        <w:overflowPunct/>
        <w:topLinePunct w:val="0"/>
        <w:autoSpaceDE/>
        <w:autoSpaceDN/>
        <w:bidi w:val="0"/>
        <w:adjustRightInd/>
        <w:snapToGrid/>
        <w:spacing w:after="0" w:line="560" w:lineRule="exact"/>
        <w:ind w:firstLine="640" w:firstLineChars="200"/>
        <w:jc w:val="both"/>
        <w:textAlignment w:val="auto"/>
        <w:outlineLvl w:val="0"/>
        <w:rPr>
          <w:rFonts w:ascii="黑体" w:hAnsi="黑体" w:eastAsia="黑体" w:cs="黑体"/>
          <w:bCs/>
          <w:color w:val="auto"/>
          <w:kern w:val="2"/>
          <w:sz w:val="32"/>
          <w:szCs w:val="32"/>
          <w:highlight w:val="none"/>
          <w:lang w:eastAsia="zh-CN" w:bidi="ar-SA"/>
        </w:rPr>
      </w:pPr>
      <w:r>
        <w:rPr>
          <w:rFonts w:hint="eastAsia" w:ascii="黑体" w:hAnsi="黑体" w:eastAsia="黑体" w:cs="黑体"/>
          <w:bCs/>
          <w:color w:val="auto"/>
          <w:kern w:val="2"/>
          <w:sz w:val="32"/>
          <w:szCs w:val="32"/>
          <w:highlight w:val="none"/>
          <w:lang w:val="en-US" w:eastAsia="zh-CN" w:bidi="ar-SA"/>
        </w:rPr>
        <w:t>七、</w:t>
      </w:r>
      <w:r>
        <w:rPr>
          <w:rFonts w:hint="eastAsia" w:ascii="黑体" w:hAnsi="黑体" w:eastAsia="黑体" w:cs="黑体"/>
          <w:bCs/>
          <w:color w:val="auto"/>
          <w:kern w:val="2"/>
          <w:sz w:val="32"/>
          <w:szCs w:val="32"/>
          <w:highlight w:val="none"/>
          <w:lang w:eastAsia="zh-CN" w:bidi="ar-SA"/>
        </w:rPr>
        <w:t>附则</w:t>
      </w:r>
      <w:bookmarkEnd w:id="22"/>
      <w:bookmarkEnd w:id="23"/>
      <w:bookmarkEnd w:id="24"/>
    </w:p>
    <w:p>
      <w:pPr>
        <w:pStyle w:val="8"/>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color w:val="auto"/>
          <w:kern w:val="0"/>
          <w:sz w:val="32"/>
          <w:szCs w:val="32"/>
          <w:highlight w:val="none"/>
          <w:lang w:val="en-US" w:eastAsia="zh-CN" w:bidi="ar-SA"/>
        </w:rPr>
        <w:t>本服务流程由区金融发展服务中心、南山战新投公司负责解释，自发布之日起实施。</w:t>
      </w:r>
    </w:p>
    <w:p>
      <w:pPr>
        <w:pStyle w:val="8"/>
        <w:keepNext w:val="0"/>
        <w:keepLines w:val="0"/>
        <w:pageBreakBefore w:val="0"/>
        <w:widowControl w:val="0"/>
        <w:kinsoku/>
        <w:wordWrap/>
        <w:overflowPunct/>
        <w:topLinePunct w:val="0"/>
        <w:autoSpaceDE/>
        <w:autoSpaceDN/>
        <w:bidi w:val="0"/>
        <w:adjustRightInd/>
        <w:snapToGrid/>
        <w:spacing w:after="0" w:line="560" w:lineRule="exact"/>
        <w:ind w:firstLine="643" w:firstLineChars="200"/>
        <w:jc w:val="both"/>
        <w:textAlignment w:val="auto"/>
        <w:rPr>
          <w:rFonts w:hint="default"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b/>
          <w:bCs/>
          <w:color w:val="auto"/>
          <w:kern w:val="0"/>
          <w:sz w:val="32"/>
          <w:szCs w:val="32"/>
          <w:highlight w:val="none"/>
          <w:lang w:val="en-US" w:eastAsia="zh-CN" w:bidi="ar-SA"/>
        </w:rPr>
        <w:t>联系方式</w:t>
      </w:r>
      <w:r>
        <w:rPr>
          <w:rFonts w:hint="eastAsia" w:ascii="仿宋_GB2312" w:hAnsi="仿宋_GB2312" w:eastAsia="仿宋_GB2312" w:cs="仿宋_GB2312"/>
          <w:color w:val="auto"/>
          <w:kern w:val="0"/>
          <w:sz w:val="32"/>
          <w:szCs w:val="32"/>
          <w:highlight w:val="none"/>
          <w:lang w:val="en-US" w:eastAsia="zh-CN" w:bidi="ar-SA"/>
        </w:rPr>
        <w:t>：南山战新投公司0755-86547592；区金融发展服务中心上市办0755-88168380。</w:t>
      </w:r>
    </w:p>
    <w:p>
      <w:bookmarkStart w:id="25" w:name="_GoBack"/>
      <w:bookmarkEnd w:id="25"/>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EF" w:usb1="C0007841" w:usb2="00000009" w:usb3="00000000" w:csb0="400001FF" w:csb1="FFFF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Tahoma">
    <w:panose1 w:val="020B0804030504040204"/>
    <w:charset w:val="00"/>
    <w:family w:val="auto"/>
    <w:pitch w:val="default"/>
    <w:sig w:usb0="E1002AFF" w:usb1="C000605B" w:usb2="00000029" w:usb3="00000000" w:csb0="200101FF" w:csb1="20280000"/>
  </w:font>
  <w:font w:name="微软雅黑">
    <w:altName w:val="汉仪旗黑"/>
    <w:panose1 w:val="020B0503020204020204"/>
    <w:charset w:val="86"/>
    <w:family w:val="swiss"/>
    <w:pitch w:val="default"/>
    <w:sig w:usb0="00000000" w:usb1="00000000" w:usb2="00000016" w:usb3="00000000" w:csb0="0004001F" w:csb1="00000000"/>
  </w:font>
  <w:font w:name="Cambria">
    <w:altName w:val="苹方-简"/>
    <w:panose1 w:val="02040503050406030204"/>
    <w:charset w:val="00"/>
    <w:family w:val="roman"/>
    <w:pitch w:val="default"/>
    <w:sig w:usb0="00000000" w:usb1="00000000" w:usb2="02000000" w:usb3="00000000" w:csb0="2000019F" w:csb1="00000000"/>
  </w:font>
  <w:font w:name="仿宋_GB2312">
    <w:altName w:val="方正仿宋_GBK"/>
    <w:panose1 w:val="02010609030101010101"/>
    <w:charset w:val="86"/>
    <w:family w:val="auto"/>
    <w:pitch w:val="default"/>
    <w:sig w:usb0="00000000" w:usb1="00000000" w:usb2="00000000" w:usb3="00000000" w:csb0="00040000" w:csb1="00000000"/>
  </w:font>
  <w:font w:name="方正小标宋_GBK">
    <w:altName w:val="汉仪书宋二KW"/>
    <w:panose1 w:val="03000509000000000000"/>
    <w:charset w:val="86"/>
    <w:family w:val="auto"/>
    <w:pitch w:val="default"/>
    <w:sig w:usb0="00000000" w:usb1="00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楷体_GB2312">
    <w:altName w:val="汉仪楷体简"/>
    <w:panose1 w:val="02010609030101010101"/>
    <w:charset w:val="86"/>
    <w:family w:val="auto"/>
    <w:pitch w:val="default"/>
    <w:sig w:usb0="00000000" w:usb1="00000000" w:usb2="00000000" w:usb3="00000000" w:csb0="00040000" w:csb1="0000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 w:name="汉仪楷体简">
    <w:panose1 w:val="02010600000101010101"/>
    <w:charset w:val="86"/>
    <w:family w:val="auto"/>
    <w:pitch w:val="default"/>
    <w:sig w:usb0="00000001" w:usb1="080E0800" w:usb2="00000002" w:usb3="00000000" w:csb0="00040000" w:csb1="00000000"/>
  </w:font>
  <w:font w:name="PingFang SC">
    <w:panose1 w:val="020B0400000000000000"/>
    <w:charset w:val="86"/>
    <w:family w:val="auto"/>
    <w:pitch w:val="default"/>
    <w:sig w:usb0="A00002FF" w:usb1="7ACFFDFB" w:usb2="00000017" w:usb3="00000000" w:csb0="00040001" w:csb1="00000000"/>
  </w:font>
  <w:font w:name="Kingsoft Sign">
    <w:panose1 w:val="05050102010706020507"/>
    <w:charset w:val="00"/>
    <w:family w:val="auto"/>
    <w:pitch w:val="default"/>
    <w:sig w:usb0="00000000" w:usb1="10000000" w:usb2="00000000" w:usb3="00000000" w:csb0="00000001" w:csb1="00000000"/>
  </w:font>
  <w:font w:name="Helvetica Neue">
    <w:panose1 w:val="02000503000000020004"/>
    <w:charset w:val="00"/>
    <w:family w:val="auto"/>
    <w:pitch w:val="default"/>
    <w:sig w:usb0="E50002FF" w:usb1="500079DB" w:usb2="00000010" w:usb3="00000000" w:csb0="00000000" w:csb1="00000000"/>
  </w:font>
  <w:font w:name="汉仪旗黑">
    <w:panose1 w:val="00020600040101010101"/>
    <w:charset w:val="86"/>
    <w:family w:val="auto"/>
    <w:pitch w:val="default"/>
    <w:sig w:usb0="A00002BF" w:usb1="1ACF7CFA" w:usb2="00000016" w:usb3="00000000" w:csb0="0004009F" w:csb1="DFD70000"/>
  </w:font>
  <w:font w:name="苹方-简">
    <w:panose1 w:val="020B0400000000000000"/>
    <w:charset w:val="86"/>
    <w:family w:val="auto"/>
    <w:pitch w:val="default"/>
    <w:sig w:usb0="A00002FF" w:usb1="7ACFFDFB" w:usb2="00000017"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EFEBD64D"/>
    <w:rsid w:val="2B5ADA6D"/>
    <w:rsid w:val="5F7EE45C"/>
    <w:rsid w:val="EFEBD64D"/>
    <w:rsid w:val="FFF231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line="240" w:lineRule="auto"/>
    </w:pPr>
    <w:rPr>
      <w:rFonts w:ascii="Tahoma" w:hAnsi="Tahoma" w:eastAsia="微软雅黑" w:cs="宋体"/>
      <w:sz w:val="22"/>
      <w:szCs w:val="22"/>
      <w:lang w:val="en-US" w:eastAsia="zh-CN" w:bidi="ar-SA"/>
    </w:rPr>
  </w:style>
  <w:style w:type="paragraph" w:styleId="3">
    <w:name w:val="heading 1"/>
    <w:basedOn w:val="1"/>
    <w:next w:val="1"/>
    <w:qFormat/>
    <w:uiPriority w:val="99"/>
    <w:pPr>
      <w:keepNext/>
      <w:keepLines/>
      <w:spacing w:line="360" w:lineRule="auto"/>
      <w:jc w:val="center"/>
      <w:outlineLvl w:val="0"/>
    </w:pPr>
    <w:rPr>
      <w:rFonts w:eastAsia="黑体"/>
      <w:kern w:val="44"/>
      <w:sz w:val="44"/>
      <w:szCs w:val="44"/>
      <w:lang w:val="zh-CN"/>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Heading4"/>
    <w:basedOn w:val="1"/>
    <w:next w:val="1"/>
    <w:qFormat/>
    <w:uiPriority w:val="0"/>
    <w:pPr>
      <w:keepNext/>
      <w:keepLines/>
      <w:spacing w:before="280" w:after="290" w:line="376" w:lineRule="auto"/>
      <w:textAlignment w:val="baseline"/>
    </w:pPr>
    <w:rPr>
      <w:rFonts w:ascii="Cambria" w:hAnsi="Cambria" w:eastAsia="宋体" w:cs="Times New Roman"/>
      <w:b/>
      <w:bCs/>
      <w:sz w:val="28"/>
      <w:szCs w:val="28"/>
    </w:rPr>
  </w:style>
  <w:style w:type="paragraph" w:styleId="4">
    <w:name w:val="Body Text"/>
    <w:basedOn w:val="1"/>
    <w:unhideWhenUsed/>
    <w:qFormat/>
    <w:uiPriority w:val="99"/>
    <w:pPr>
      <w:spacing w:after="120"/>
    </w:pPr>
  </w:style>
  <w:style w:type="paragraph" w:styleId="5">
    <w:name w:val="Body Text First Indent"/>
    <w:basedOn w:val="4"/>
    <w:unhideWhenUsed/>
    <w:qFormat/>
    <w:uiPriority w:val="99"/>
    <w:pPr>
      <w:widowControl w:val="0"/>
      <w:spacing w:line="240" w:lineRule="auto"/>
      <w:ind w:firstLine="420" w:firstLineChars="100"/>
      <w:jc w:val="both"/>
    </w:pPr>
    <w:rPr>
      <w:rFonts w:eastAsia="仿宋_GB2312"/>
      <w:kern w:val="2"/>
      <w:sz w:val="32"/>
      <w:szCs w:val="24"/>
      <w:lang w:eastAsia="zh-CN" w:bidi="ar-SA"/>
    </w:rPr>
  </w:style>
  <w:style w:type="paragraph" w:customStyle="1" w:styleId="8">
    <w:name w:val="No Spacing_f0065b44-984c-4326-aae1-4197f2f7b789"/>
    <w:qFormat/>
    <w:uiPriority w:val="0"/>
    <w:pPr>
      <w:widowControl w:val="0"/>
      <w:spacing w:after="0" w:line="240" w:lineRule="auto"/>
      <w:jc w:val="both"/>
    </w:pPr>
    <w:rPr>
      <w:rFonts w:ascii="Calibri" w:hAnsi="Calibri" w:eastAsia="宋体" w:cs="黑体"/>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Office_6.4.0.8550_F1E327BC-269C-435d-A152-05C5408002CA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2025-03-25T14:48:00Z</dcterms:created>
  <dc:creator>王玮黠</dc:creator>
  <cp:lastModifiedBy>王玮黠</cp:lastModifiedBy>
  <dcterms:modified xsi:type="dcterms:W3CDTF">2025-03-25T18:47:53Z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2052-6.4.0.8550</vt:lpwstr>
  </property>
  <property fmtid="{D5CDD505-2E9C-101B-9397-08002B2CF9AE}" pid="3" name="ICV">
    <vt:lpwstr>D29929A41A6058414F00E1672712F733_41</vt:lpwstr>
  </property>
</Properties>
</file>