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textAlignment w:val="auto"/>
        <w:outlineLvl w:val="0"/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val="en-US" w:eastAsia="zh-CN"/>
        </w:rPr>
      </w:pPr>
      <w:bookmarkStart w:id="0" w:name="_Toc791184367"/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val="en-US" w:eastAsia="zh-CN"/>
        </w:rPr>
        <w:t>青年领航创业团队支持行动</w:t>
      </w:r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0" w:firstLineChars="0"/>
        <w:jc w:val="center"/>
        <w:textAlignment w:val="auto"/>
        <w:outlineLvl w:val="0"/>
        <w:rPr>
          <w:rFonts w:ascii="方正小标宋_GBK" w:hAnsi="宋体" w:eastAsia="方正小标宋_GBK" w:cs="宋体"/>
          <w:bCs/>
          <w:color w:val="auto"/>
          <w:sz w:val="44"/>
          <w:szCs w:val="44"/>
          <w:highlight w:val="none"/>
          <w:lang w:eastAsia="zh-CN" w:bidi="ar-SA"/>
        </w:rPr>
      </w:pPr>
      <w:bookmarkStart w:id="1" w:name="_Toc1957018281"/>
      <w:r>
        <w:rPr>
          <w:rFonts w:hint="eastAsia" w:ascii="方正小标宋_GBK" w:hAnsi="宋体" w:eastAsia="方正小标宋_GBK"/>
          <w:color w:val="auto"/>
          <w:sz w:val="44"/>
          <w:szCs w:val="44"/>
          <w:highlight w:val="none"/>
          <w:lang w:val="en-US" w:eastAsia="zh-CN"/>
        </w:rPr>
        <w:t>操作规程</w:t>
      </w:r>
      <w:bookmarkEnd w:id="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eastAsia="zh-CN" w:bidi="ar-SA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eastAsia="zh-CN" w:bidi="ar-SA"/>
        </w:rPr>
      </w:pPr>
      <w:bookmarkStart w:id="2" w:name="_Toc334767740"/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eastAsia="zh-CN" w:bidi="ar-SA"/>
        </w:rPr>
        <w:t>一、政策内容</w:t>
      </w:r>
      <w:bookmarkEnd w:id="2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动态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遴选一批战略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性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新兴产业和未来产业领域中具有引领作用的青年领航创业团队，符合条件的最高给予价值2000万元的综合支持。</w:t>
      </w:r>
    </w:p>
    <w:p>
      <w:pPr>
        <w:pStyle w:val="4"/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color w:val="auto"/>
          <w:szCs w:val="32"/>
          <w:highlight w:val="none"/>
        </w:rPr>
      </w:pPr>
      <w:bookmarkStart w:id="3" w:name="_Toc657694599"/>
      <w:r>
        <w:rPr>
          <w:rFonts w:hint="eastAsia" w:ascii="黑体" w:hAnsi="黑体" w:eastAsia="黑体" w:cs="黑体"/>
          <w:bCs/>
          <w:color w:val="auto"/>
          <w:szCs w:val="32"/>
          <w:highlight w:val="none"/>
        </w:rPr>
        <w:t>二、资助标准</w:t>
      </w:r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对创业项目给予创业资金资助最高500万元。（区科技创新局受理）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另，符合条件的可获得：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）区属创投资金不低于200万元支持；（汇通金控基金投资有限公司受理）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）保障性租赁住房补租配额最高5套，配租配额最高5套；（区住房建设局受理）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）按租金市场价的最低30%申请最高1000平方米创业空间；（区企业服务中心受理）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）根据所创办企业发展情况发放一定数量“南山领航卡”，给予企业内持卡人子女入学、安居保障、健康医疗、金融服务等政策待遇。（区人才工作局受理）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Cs w:val="0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已经获得市有关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政策服务、区科技人才创新创业支持计划等同类人才创业支持的，按照择高不重复进行支持。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eastAsia="zh-CN" w:bidi="ar-SA"/>
        </w:rPr>
      </w:pPr>
      <w:bookmarkStart w:id="4" w:name="_Toc1725530438"/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eastAsia="zh-CN" w:bidi="ar-SA"/>
        </w:rPr>
        <w:t>三、设定依据</w:t>
      </w:r>
      <w:bookmarkEnd w:id="4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bookmarkStart w:id="5" w:name="_Toc1187609903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《南山区支持创新创业“六个一”行动方案》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numPr>
          <w:ilvl w:val="-1"/>
          <w:numId w:val="0"/>
        </w:numPr>
        <w:kinsoku/>
        <w:wordWrap/>
        <w:overflowPunct/>
        <w:topLinePunct w:val="0"/>
        <w:autoSpaceDE/>
        <w:autoSpaceDN/>
        <w:bidi w:val="0"/>
        <w:spacing w:after="0" w:line="560" w:lineRule="exact"/>
        <w:ind w:left="660" w:firstLine="0" w:firstLineChars="0"/>
        <w:jc w:val="both"/>
        <w:textAlignment w:val="auto"/>
        <w:outlineLvl w:val="0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eastAsia="zh-CN" w:bidi="ar-SA"/>
        </w:rPr>
      </w:pPr>
      <w:r>
        <w:rPr>
          <w:rFonts w:hint="default" w:ascii="黑体" w:hAnsi="黑体" w:eastAsia="黑体" w:cs="黑体"/>
          <w:bCs/>
          <w:color w:val="auto"/>
          <w:kern w:val="2"/>
          <w:sz w:val="32"/>
          <w:szCs w:val="32"/>
          <w:highlight w:val="none"/>
          <w:lang w:eastAsia="zh-CN" w:bidi="ar-SA"/>
        </w:rPr>
        <w:t>四、</w:t>
      </w:r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eastAsia="zh-CN" w:bidi="ar-SA"/>
        </w:rPr>
        <w:t>申报对象和条件</w:t>
      </w:r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一）申报企业应在南山区合法经营且主要经营领域属于人工智能、机器人、生物医药、低空经济等南山区重点扶持和发展的战略性新兴产业和未来产业。企业创始人需满足年龄在40周岁及以下，获得上一年度世界大学四大排名榜单（QS世界大学排名、THE泰晤士高等教育世界大学排名、ARWU软科世界大学学术排名、U.S.News世界大学排名）中任一榜单前150名或国内“双一流”建设高校全日制硕士及以上学历，自身为企业第一大股东或最大自然人股东，创办企业时间在三年以下并符合以下条件之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符合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市有关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人才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政策服务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条件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2.曾在创业项目所在行业内的领军企业有3年以上高级管理职位或核心研发职位工作经历；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3.创办企业已获机构投资1000万元以上；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4.创业项目为近三年“创青春”“互联网+”“挑战杯”“中国创翼”“中国创新创业大赛”“全国颠覆性技术创新大赛”等全国性创新创业大赛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所在行业全国性专业赛事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highlight w:val="none"/>
          <w:lang w:val="en-US" w:eastAsia="zh-CN"/>
        </w:rPr>
        <w:t>或国际同等级别赛事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中获金、银、铜奖（或相当于前三等奖项）或创新南山“创业之星”大赛总决赛一等奖的项目；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5.创业项目具备显著的行业创新价值和技术前瞻性，申报人及其团队在相关领域已形成具有行业引领性的技术突破，在业内有较强影响力。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jc w:val="both"/>
        <w:textAlignment w:val="auto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（二）特别优秀并经创业项目所属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产业主管部门推荐的，可适当放宽申报要求。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outlineLvl w:val="0"/>
        <w:rPr>
          <w:rFonts w:eastAsia="黑体"/>
          <w:bCs/>
          <w:color w:val="auto"/>
          <w:kern w:val="2"/>
          <w:sz w:val="32"/>
          <w:szCs w:val="32"/>
          <w:highlight w:val="none"/>
          <w:lang w:eastAsia="zh-CN" w:bidi="ar-SA"/>
        </w:rPr>
      </w:pPr>
      <w:bookmarkStart w:id="6" w:name="_Toc786041442"/>
      <w:r>
        <w:rPr>
          <w:rFonts w:eastAsia="黑体"/>
          <w:bCs/>
          <w:color w:val="auto"/>
          <w:kern w:val="2"/>
          <w:sz w:val="32"/>
          <w:szCs w:val="32"/>
          <w:highlight w:val="none"/>
          <w:lang w:eastAsia="zh-CN" w:bidi="ar-SA"/>
        </w:rPr>
        <w:t>五、资助方式</w:t>
      </w:r>
      <w:bookmarkEnd w:id="6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rPr>
          <w:rFonts w:hint="eastAsia"/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本支持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申报项目属评审类，实行单位申报、材料审核、专家评审、政府决策的原则，每年支持项目有数量限制。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eastAsia="zh-CN" w:bidi="ar-SA"/>
        </w:rPr>
      </w:pPr>
      <w:bookmarkStart w:id="7" w:name="_Toc1952471949"/>
      <w:r>
        <w:rPr>
          <w:rFonts w:hint="eastAsia" w:ascii="黑体" w:hAnsi="黑体" w:eastAsia="黑体" w:cs="黑体"/>
          <w:bCs/>
          <w:color w:val="auto"/>
          <w:kern w:val="2"/>
          <w:sz w:val="32"/>
          <w:szCs w:val="32"/>
          <w:highlight w:val="none"/>
          <w:lang w:eastAsia="zh-CN" w:bidi="ar-SA"/>
        </w:rPr>
        <w:t>六、办理流程</w:t>
      </w:r>
      <w:bookmarkEnd w:id="7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/>
        <w:jc w:val="both"/>
        <w:rPr>
          <w:rFonts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（一）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申报企业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登陆“i南山企业服务综合平台”（</w:t>
      </w:r>
      <w:r>
        <w:rPr>
          <w:rFonts w:hint="eastAsia" w:ascii="仿宋_GB2312" w:eastAsia="仿宋_GB2312"/>
          <w:color w:val="auto"/>
          <w:kern w:val="2"/>
          <w:sz w:val="32"/>
          <w:szCs w:val="32"/>
          <w:highlight w:val="none"/>
        </w:rPr>
        <w:t>https://www.inanshan.org.cn/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），网上提交项目申报材料；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（二）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区科技创新局对申报材料进行形式审查，审查通过的，组织专家评审，</w:t>
      </w: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必要时进行现场考察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（三）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根据评审结果及项目情况，区科技创新局</w:t>
      </w: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拟定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创业资金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资助计划，报区人才工作局备案，区人才工作局拟定入选新锐青年人才库名单</w:t>
      </w: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（四）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区统计局对申报人企业在地统计开展情况进行核查，</w:t>
      </w: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区企业发展服务中心组织对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企业</w:t>
      </w: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的注册情况、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违规申报使用政府资金、</w:t>
      </w: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商业贿赂和不良信用记录等情况进行核查；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rPr>
          <w:rFonts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（五）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区科技创新局将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创业资金资助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企业名单及指标分配方案提交联席会议审议；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outlineLvl w:val="9"/>
        <w:rPr>
          <w:rFonts w:eastAsia="仿宋_GB2312"/>
          <w:color w:val="auto"/>
          <w:sz w:val="32"/>
          <w:szCs w:val="32"/>
          <w:highlight w:val="none"/>
          <w:lang w:eastAsia="zh-CN"/>
        </w:rPr>
      </w:pP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（六）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由区科技创新局下达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创业资金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资助</w:t>
      </w:r>
      <w:r>
        <w:rPr>
          <w:rFonts w:hint="eastAsia" w:ascii="仿宋_GB2312" w:eastAsia="仿宋_GB2312"/>
          <w:color w:val="auto"/>
          <w:sz w:val="32"/>
          <w:szCs w:val="32"/>
          <w:highlight w:val="none"/>
          <w:lang w:eastAsia="zh-CN"/>
        </w:rPr>
        <w:t>计划</w:t>
      </w: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七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）获得创业资金资助的，由</w:t>
      </w: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区科技创新局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受理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获得其他支持的，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由区人才工作局牵头，会同各相关单位，对入选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新锐青年人才库人才开展联系走访，根据企业实际需求，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按照不超过总人数10%，对团队创始人和核心研发人才，根据人才能力贡献，提供保障性租赁住房补租配额最高5套，配租配额最高5套，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由区住房和建设局受理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2.按租金市场价的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最低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30%给予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最高1000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平方米创业空间，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由创业空间主管单位受理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；3.结合项目情况，给予区属创投资金不低于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00万元支持，由汇通金控基金投资有限公司受理；4.根据所创办企业和人才发展情况，由企业自主评价发放“南山领航卡”，由区人才工作局受理。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）获得创业资金资助的，区财政部门及时安排资金，区科技创新局按本操作规程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及有关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规定拨付资助经费。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Cs w:val="0"/>
          <w:color w:val="auto"/>
          <w:kern w:val="0"/>
          <w:sz w:val="32"/>
          <w:szCs w:val="32"/>
          <w:highlight w:val="none"/>
          <w:lang w:eastAsia="zh-CN" w:bidi="ar-SA"/>
        </w:rPr>
      </w:pPr>
      <w:bookmarkStart w:id="8" w:name="_Toc119787586"/>
      <w:r>
        <w:rPr>
          <w:rFonts w:hint="eastAsia" w:ascii="黑体" w:hAnsi="黑体" w:eastAsia="黑体" w:cs="黑体"/>
          <w:bCs w:val="0"/>
          <w:color w:val="auto"/>
          <w:kern w:val="0"/>
          <w:sz w:val="32"/>
          <w:szCs w:val="32"/>
          <w:highlight w:val="none"/>
          <w:lang w:eastAsia="zh-CN" w:bidi="ar-SA"/>
        </w:rPr>
        <w:t>七、项目过程和验收管理</w:t>
      </w:r>
      <w:bookmarkEnd w:id="8"/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contextualSpacing w:val="0"/>
        <w:jc w:val="both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-SA"/>
        </w:rPr>
        <w:t>项目监管、项目验收等按照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有关规定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-SA"/>
        </w:rPr>
        <w:t>执行，有违反法律法规、合同约定及相关承诺，采取商业贿赂等其他不正当手段申请、虚报、冒领、截留、挪用、挤占资金行为以及拒绝配合监督检查情况的，由相关责任部门责令其限期改正、追回财政资金并依法追究其法律责任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outlineLvl w:val="0"/>
        <w:rPr>
          <w:rFonts w:hint="eastAsia" w:ascii="黑体" w:hAnsi="黑体" w:eastAsia="黑体" w:cs="黑体"/>
          <w:bCs w:val="0"/>
          <w:color w:val="auto"/>
          <w:kern w:val="0"/>
          <w:sz w:val="32"/>
          <w:szCs w:val="32"/>
          <w:highlight w:val="none"/>
          <w:lang w:eastAsia="zh-CN" w:bidi="ar-SA"/>
        </w:rPr>
      </w:pPr>
      <w:bookmarkStart w:id="9" w:name="_Toc1993849636"/>
      <w:r>
        <w:rPr>
          <w:rFonts w:hint="eastAsia" w:ascii="黑体" w:hAnsi="黑体" w:eastAsia="黑体" w:cs="黑体"/>
          <w:bCs w:val="0"/>
          <w:color w:val="auto"/>
          <w:kern w:val="0"/>
          <w:sz w:val="32"/>
          <w:szCs w:val="32"/>
          <w:highlight w:val="none"/>
          <w:lang w:eastAsia="zh-CN" w:bidi="ar-SA"/>
        </w:rPr>
        <w:t>八、所需材料</w:t>
      </w:r>
      <w:bookmarkEnd w:id="9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contextualSpacing w:val="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(一)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登录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i南山企业服务综合平台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eastAsia="zh-CN" w:bidi="ar-SA"/>
        </w:rPr>
        <w:t>（https://www.inanshan.org.cn/），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 w:bidi="ar-SA"/>
        </w:rPr>
        <w:t>在线填写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青年领航创业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项目申请书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bookmarkStart w:id="10" w:name="_Hlk98162494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二）《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青年领航创业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团队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支持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行动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项目申请书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》填表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明与保证（法定代表人签字并加盖单位公章后，原件彩色扫描成PDF文件上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传）；</w:t>
      </w:r>
      <w:bookmarkEnd w:id="10"/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（三）企业统一社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会信用代码证书（原件彩色扫描成PDF文件上传）；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）由税务部门开具的企业上年度纳税证明（税务申报系统下载后，原件彩色扫描成PDF文件上传)；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（五）申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报企业创始人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身份证件原件（或复印件加盖公章）、企业法定代表人身份证件原件（或复印件加盖公章），彩色扫描成PDF文件上传；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六）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报企业创始人及其创业团队核心成员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学历、学位证书原件彩色扫描成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PDF上传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，毕业院校为海外院校的，需提供教育部留学服务中心认证；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报企业创始人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及其创业团队核心成员在申报单位任职的有关证明文件（劳动合同、兼职协议等）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原件（或复印件加盖公章）彩色扫描成PDF文件上传；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申报企业创始人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及其创业团队核心成员社保缴纳证明原件（或复印件加盖公章）彩色扫描成PDF文件上传；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）创业项目商业计划书；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）按照“四、申报对象和条件”不同情形，分别需提供相应材料，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原件彩色扫描成PDF文件上传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1.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符合第一项第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种情形的，需提供入选佐证材料；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2.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符合第一项第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种情形的，需提供相关任职企业劳动合同；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3.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符合第一项第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种情形的，需提供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投资协议、投资资金入账凭证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；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4.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符合第一项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种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</w:rPr>
        <w:t>情形的，需提供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相关奖项证书；</w:t>
      </w:r>
    </w:p>
    <w:p>
      <w:pPr>
        <w:keepNext w:val="0"/>
        <w:keepLines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5.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符合第一项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</w:rPr>
        <w:t>第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种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或第二项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</w:rPr>
        <w:t>情形的，需提供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val="en-US" w:eastAsia="zh-CN"/>
        </w:rPr>
        <w:t>佐证材料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（十一）创业团队其他荣誉、资历、成果等相关证明材料。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outlineLvl w:val="0"/>
        <w:rPr>
          <w:rFonts w:ascii="黑体" w:hAnsi="黑体" w:eastAsia="黑体" w:cs="黑体"/>
          <w:bCs/>
          <w:color w:val="auto"/>
          <w:kern w:val="2"/>
          <w:sz w:val="32"/>
          <w:szCs w:val="32"/>
          <w:highlight w:val="none"/>
          <w:lang w:eastAsia="zh-CN" w:bidi="ar-SA"/>
        </w:rPr>
      </w:pPr>
      <w:bookmarkStart w:id="11" w:name="_Toc1647778859"/>
      <w:r>
        <w:rPr>
          <w:rFonts w:hint="eastAsia" w:eastAsia="黑体"/>
          <w:bCs/>
          <w:color w:val="auto"/>
          <w:kern w:val="2"/>
          <w:sz w:val="32"/>
          <w:szCs w:val="32"/>
          <w:highlight w:val="none"/>
          <w:lang w:eastAsia="zh-CN" w:bidi="ar-SA"/>
        </w:rPr>
        <w:t>九</w:t>
      </w:r>
      <w:r>
        <w:rPr>
          <w:rFonts w:eastAsia="黑体"/>
          <w:bCs/>
          <w:color w:val="auto"/>
          <w:kern w:val="2"/>
          <w:sz w:val="32"/>
          <w:szCs w:val="32"/>
          <w:highlight w:val="none"/>
          <w:lang w:eastAsia="zh-CN" w:bidi="ar-SA"/>
        </w:rPr>
        <w:t>、附则</w:t>
      </w:r>
      <w:bookmarkEnd w:id="11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本</w:t>
      </w:r>
      <w:r>
        <w:rPr>
          <w:rFonts w:hint="eastAsia" w:eastAsia="仿宋_GB2312"/>
          <w:color w:val="auto"/>
          <w:sz w:val="32"/>
          <w:szCs w:val="32"/>
          <w:highlight w:val="none"/>
          <w:lang w:val="en-US" w:eastAsia="zh-CN"/>
        </w:rPr>
        <w:t>行动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牵头</w:t>
      </w: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部门为南山区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人才工作局</w:t>
      </w:r>
      <w:r>
        <w:rPr>
          <w:rFonts w:eastAsia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eastAsia="仿宋_GB2312"/>
          <w:color w:val="auto"/>
          <w:sz w:val="32"/>
          <w:szCs w:val="32"/>
          <w:highlight w:val="none"/>
          <w:lang w:eastAsia="zh-CN"/>
        </w:rPr>
        <w:t>执行部门为产业主管部门，</w:t>
      </w:r>
      <w:r>
        <w:rPr>
          <w:rFonts w:hint="eastAsia" w:ascii="仿宋_GB2312" w:hAnsi="仿宋" w:eastAsia="仿宋_GB2312"/>
          <w:color w:val="auto"/>
          <w:sz w:val="32"/>
          <w:szCs w:val="32"/>
          <w:highlight w:val="none"/>
          <w:lang w:eastAsia="zh-CN"/>
        </w:rPr>
        <w:t>本操作规程由其负责解释，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自发布之日起实施。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560" w:lineRule="exact"/>
        <w:ind w:firstLine="643" w:firstLineChars="200"/>
        <w:jc w:val="both"/>
        <w:textAlignment w:val="auto"/>
        <w:rPr>
          <w:color w:val="auto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联系方式：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-SA"/>
        </w:rPr>
        <w:t>黄晓昕（区科技创新局科技人才服务部）0755-88168129。</w:t>
      </w:r>
    </w:p>
    <w:p>
      <w:bookmarkStart w:id="12" w:name="_GoBack"/>
      <w:bookmarkEnd w:id="1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汉仪书宋二KW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2F54AD6"/>
    <w:rsid w:val="2FFBC7FA"/>
    <w:rsid w:val="32F54AD6"/>
    <w:rsid w:val="6F7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4"/>
    <w:basedOn w:val="1"/>
    <w:next w:val="1"/>
    <w:qFormat/>
    <w:uiPriority w:val="0"/>
    <w:pPr>
      <w:keepNext/>
      <w:keepLines/>
      <w:spacing w:before="280" w:after="290" w:line="376" w:lineRule="auto"/>
      <w:textAlignment w:val="baseline"/>
    </w:pPr>
    <w:rPr>
      <w:rFonts w:ascii="Cambria" w:hAnsi="Cambria" w:eastAsia="宋体" w:cs="Times New Roman"/>
      <w:b/>
      <w:bCs/>
      <w:sz w:val="28"/>
      <w:szCs w:val="28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widowControl w:val="0"/>
      <w:spacing w:line="240" w:lineRule="auto"/>
      <w:ind w:firstLine="420" w:firstLineChars="100"/>
      <w:jc w:val="both"/>
    </w:pPr>
    <w:rPr>
      <w:rFonts w:eastAsia="仿宋_GB2312"/>
      <w:kern w:val="2"/>
      <w:sz w:val="32"/>
      <w:szCs w:val="24"/>
      <w:lang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2025-03-25T06:46:00Z</dcterms:created>
  <dc:creator>王玮黠</dc:creator>
  <cp:lastModifiedBy>王玮黠</cp:lastModifiedBy>
  <dcterms:modified xsi:type="dcterms:W3CDTF">2025-03-25T18:45:44Z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F4DFAF44C1F7B943C5FFE0676389A76D_41</vt:lpwstr>
  </property>
</Properties>
</file>