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06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060"/>
      </w:tblGrid>
      <w:tr w14:paraId="6C22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color="auto" w:fill="E8E8E8"/>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060"/>
            </w:tblGrid>
            <w:tr w14:paraId="6E8E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top"/>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060"/>
                  </w:tblGrid>
                  <w:tr w14:paraId="2C8E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0" w:hRule="atLeast"/>
                      <w:tblCellSpacing w:w="0" w:type="dxa"/>
                    </w:trPr>
                    <w:tc>
                      <w:tcPr>
                        <w:tcW w:w="0" w:type="auto"/>
                        <w:shd w:val="clear"/>
                        <w:tcMar>
                          <w:top w:w="150" w:type="dxa"/>
                          <w:left w:w="150" w:type="dxa"/>
                          <w:bottom w:w="150" w:type="dxa"/>
                          <w:right w:w="150" w:type="dxa"/>
                        </w:tcMar>
                        <w:vAlign w:val="top"/>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760"/>
                        </w:tblGrid>
                        <w:tr w14:paraId="26A2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tcMar>
                                <w:top w:w="150" w:type="dxa"/>
                                <w:bottom w:w="150" w:type="dxa"/>
                              </w:tcMar>
                              <w:vAlign w:val="top"/>
                            </w:tcPr>
                            <w:p w14:paraId="31722C16">
                              <w:pPr>
                                <w:pStyle w:val="2"/>
                                <w:keepNext w:val="0"/>
                                <w:keepLines w:val="0"/>
                                <w:widowControl/>
                                <w:suppressLineNumbers w:val="0"/>
                                <w:spacing w:line="360" w:lineRule="atLeast"/>
                                <w:jc w:val="left"/>
                                <w:rPr>
                                  <w:sz w:val="11"/>
                                  <w:szCs w:val="11"/>
                                </w:rPr>
                              </w:pPr>
                              <w:r>
                                <w:rPr>
                                  <w:rFonts w:hint="eastAsia" w:ascii="宋体" w:hAnsi="宋体" w:eastAsia="宋体" w:cs="宋体"/>
                                  <w:sz w:val="13"/>
                                  <w:szCs w:val="13"/>
                                  <w:bdr w:val="none" w:color="auto" w:sz="0" w:space="0"/>
                                </w:rPr>
                                <w:t>附件2</w:t>
                              </w:r>
                            </w:p>
                            <w:p w14:paraId="52B79F1A">
                              <w:pPr>
                                <w:pStyle w:val="2"/>
                                <w:keepNext w:val="0"/>
                                <w:keepLines w:val="0"/>
                                <w:widowControl/>
                                <w:suppressLineNumbers w:val="0"/>
                                <w:spacing w:line="360" w:lineRule="atLeast"/>
                                <w:jc w:val="center"/>
                                <w:rPr>
                                  <w:sz w:val="11"/>
                                  <w:szCs w:val="11"/>
                                </w:rPr>
                              </w:pPr>
                              <w:r>
                                <w:rPr>
                                  <w:rFonts w:hint="eastAsia" w:ascii="宋体" w:hAnsi="宋体" w:eastAsia="宋体" w:cs="宋体"/>
                                  <w:sz w:val="13"/>
                                  <w:szCs w:val="13"/>
                                  <w:bdr w:val="none" w:color="auto" w:sz="0" w:space="0"/>
                                </w:rPr>
                                <w:t>第一批惠州市省级中小企业数字化转型城市试点数字化牵引单位名单</w:t>
                              </w:r>
                            </w:p>
                            <w:p w14:paraId="252F12A2">
                              <w:pPr>
                                <w:pStyle w:val="2"/>
                                <w:keepNext w:val="0"/>
                                <w:keepLines w:val="0"/>
                                <w:widowControl/>
                                <w:suppressLineNumbers w:val="0"/>
                                <w:spacing w:line="360" w:lineRule="atLeast"/>
                                <w:jc w:val="center"/>
                                <w:rPr>
                                  <w:sz w:val="11"/>
                                  <w:szCs w:val="11"/>
                                </w:rPr>
                              </w:pPr>
                              <w:r>
                                <w:rPr>
                                  <w:rFonts w:hint="eastAsia" w:ascii="宋体" w:hAnsi="宋体" w:eastAsia="宋体" w:cs="宋体"/>
                                  <w:sz w:val="13"/>
                                  <w:szCs w:val="13"/>
                                  <w:bdr w:val="none" w:color="auto" w:sz="0" w:space="0"/>
                                </w:rPr>
                                <w:t>（排名不分先后）</w:t>
                              </w:r>
                            </w:p>
                            <w:tbl>
                              <w:tblPr>
                                <w:tblW w:w="13605" w:type="dxa"/>
                                <w:tblInd w:w="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827"/>
                                <w:gridCol w:w="4834"/>
                                <w:gridCol w:w="3319"/>
                                <w:gridCol w:w="2643"/>
                                <w:gridCol w:w="1982"/>
                              </w:tblGrid>
                              <w:tr w14:paraId="2CB59F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82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42859A6">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序号</w:t>
                                    </w:r>
                                  </w:p>
                                </w:tc>
                                <w:tc>
                                  <w:tcPr>
                                    <w:tcW w:w="48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929334B">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牵引单位名称</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5A16E58">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统一社会信用代码</w:t>
                                    </w:r>
                                  </w:p>
                                </w:tc>
                                <w:tc>
                                  <w:tcPr>
                                    <w:tcW w:w="2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44B8B52">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细分行业</w:t>
                                    </w: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C74199F">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牵引模式</w:t>
                                    </w:r>
                                  </w:p>
                                </w:tc>
                              </w:tr>
                              <w:tr w14:paraId="6A58F6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BDC3832">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1</w:t>
                                    </w:r>
                                  </w:p>
                                </w:tc>
                                <w:tc>
                                  <w:tcPr>
                                    <w:tcW w:w="48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8BC0C5C">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联通（广东）产业互联网有限公司</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93C2C87">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91440101MA59HM2XXA</w:t>
                                    </w:r>
                                  </w:p>
                                </w:tc>
                                <w:tc>
                                  <w:tcPr>
                                    <w:tcW w:w="2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96AC151">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5G及智能终端</w:t>
                                    </w: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A0C61E7">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产业链</w:t>
                                    </w:r>
                                  </w:p>
                                </w:tc>
                              </w:tr>
                              <w:tr w14:paraId="65A0CB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982761D">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2</w:t>
                                    </w:r>
                                  </w:p>
                                </w:tc>
                                <w:tc>
                                  <w:tcPr>
                                    <w:tcW w:w="48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B4D6D0C">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TCL实业控股股份有限公司</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F2D7BD2">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91441300MA529HEL43</w:t>
                                    </w:r>
                                  </w:p>
                                </w:tc>
                                <w:tc>
                                  <w:tcPr>
                                    <w:tcW w:w="2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5AE40DC">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超高清视频显示</w:t>
                                    </w: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9D7B570">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供应链</w:t>
                                    </w:r>
                                  </w:p>
                                </w:tc>
                              </w:tr>
                              <w:tr w14:paraId="3D04E5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3155382">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3</w:t>
                                    </w:r>
                                  </w:p>
                                </w:tc>
                                <w:tc>
                                  <w:tcPr>
                                    <w:tcW w:w="48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728F8FD">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惠州市德赛西威汽车电子股份有限公司</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033AFF9">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91441300617881792D</w:t>
                                    </w:r>
                                  </w:p>
                                </w:tc>
                                <w:tc>
                                  <w:tcPr>
                                    <w:tcW w:w="2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37CD58B">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智能网联汽车</w:t>
                                    </w: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0F1A276">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供应链</w:t>
                                    </w:r>
                                  </w:p>
                                </w:tc>
                              </w:tr>
                              <w:tr w14:paraId="600EF9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62F02E1">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4</w:t>
                                    </w:r>
                                  </w:p>
                                </w:tc>
                                <w:tc>
                                  <w:tcPr>
                                    <w:tcW w:w="48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1CBDBEB">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广东利元亨智能装备股份有限公司</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566FDC6">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914413023152526673</w:t>
                                    </w:r>
                                  </w:p>
                                </w:tc>
                                <w:tc>
                                  <w:tcPr>
                                    <w:tcW w:w="2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0E5DF47">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新型储能</w:t>
                                    </w: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F4A5F95">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供应链</w:t>
                                    </w:r>
                                  </w:p>
                                </w:tc>
                              </w:tr>
                              <w:tr w14:paraId="3260A6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E2C297C">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5</w:t>
                                    </w:r>
                                  </w:p>
                                </w:tc>
                                <w:tc>
                                  <w:tcPr>
                                    <w:tcW w:w="48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ED6E858">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惠州市德赛电池有限公司</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17A8FA2">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914413007436809912</w:t>
                                    </w:r>
                                  </w:p>
                                </w:tc>
                                <w:tc>
                                  <w:tcPr>
                                    <w:tcW w:w="2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1D813EA">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新型储能</w:t>
                                    </w:r>
                                  </w:p>
                                </w:tc>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174C7FD">
                                    <w:pPr>
                                      <w:pStyle w:val="2"/>
                                      <w:keepNext w:val="0"/>
                                      <w:keepLines w:val="0"/>
                                      <w:widowControl/>
                                      <w:suppressLineNumbers w:val="0"/>
                                      <w:wordWrap w:val="0"/>
                                      <w:jc w:val="center"/>
                                      <w:rPr>
                                        <w:sz w:val="13"/>
                                        <w:szCs w:val="13"/>
                                      </w:rPr>
                                    </w:pPr>
                                    <w:r>
                                      <w:rPr>
                                        <w:rFonts w:hint="eastAsia" w:ascii="宋体" w:hAnsi="宋体" w:eastAsia="宋体" w:cs="宋体"/>
                                        <w:sz w:val="15"/>
                                        <w:szCs w:val="15"/>
                                        <w:bdr w:val="none" w:color="auto" w:sz="0" w:space="0"/>
                                      </w:rPr>
                                      <w:t>供应链</w:t>
                                    </w:r>
                                  </w:p>
                                </w:tc>
                              </w:tr>
                            </w:tbl>
                            <w:p w14:paraId="397AB868">
                              <w:pPr>
                                <w:pStyle w:val="2"/>
                                <w:keepNext w:val="0"/>
                                <w:keepLines w:val="0"/>
                                <w:widowControl/>
                                <w:suppressLineNumbers w:val="0"/>
                                <w:spacing w:line="360" w:lineRule="atLeast"/>
                                <w:rPr>
                                  <w:sz w:val="11"/>
                                  <w:szCs w:val="11"/>
                                </w:rPr>
                              </w:pPr>
                            </w:p>
                          </w:tc>
                        </w:tr>
                      </w:tbl>
                      <w:p w14:paraId="27F19382">
                        <w:pPr>
                          <w:spacing w:line="360" w:lineRule="atLeast"/>
                          <w:rPr>
                            <w:sz w:val="4"/>
                            <w:szCs w:val="4"/>
                          </w:rPr>
                        </w:pPr>
                      </w:p>
                    </w:tc>
                  </w:tr>
                </w:tbl>
                <w:p w14:paraId="76DDDCB3">
                  <w:pPr>
                    <w:rPr>
                      <w:sz w:val="4"/>
                      <w:szCs w:val="4"/>
                    </w:rPr>
                  </w:pPr>
                </w:p>
              </w:tc>
            </w:tr>
          </w:tbl>
          <w:p w14:paraId="188012BF">
            <w:pPr>
              <w:rPr>
                <w:sz w:val="4"/>
                <w:szCs w:val="4"/>
              </w:rPr>
            </w:pPr>
          </w:p>
        </w:tc>
      </w:tr>
    </w:tbl>
    <w:p w14:paraId="47434EA4">
      <w:pPr>
        <w:keepNext w:val="0"/>
        <w:keepLines w:val="0"/>
        <w:widowControl/>
        <w:suppressLineNumbers w:val="0"/>
        <w:jc w:val="left"/>
        <w:rPr>
          <w:sz w:val="8"/>
          <w:szCs w:val="11"/>
        </w:rPr>
      </w:pPr>
    </w:p>
    <w:p w14:paraId="214C7CCD">
      <w:pPr>
        <w:rPr>
          <w:sz w:val="8"/>
          <w:szCs w:val="1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76B7A"/>
    <w:rsid w:val="3537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2025-03-26T07:56:00Z</dcterms:created>
  <dc:creator>Administrator</dc:creator>
  <cp:lastModifiedBy>Administrator</cp:lastModifiedBy>
  <dcterms:modified xsi:type="dcterms:W3CDTF">2025-03-26T07:57:47Z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8C9BACCD180F4D42A045BDD50FFFD982_11</vt:lpwstr>
  </property>
  <property fmtid="{D5CDD505-2E9C-101B-9397-08002B2CF9AE}" pid="4" name="KSOTemplateDocerSaveRecord">
    <vt:lpwstr>eyJoZGlkIjoiYTJjNGM0NzM2ODZjMzhkNjBiZDFlN2FiZTkzMTE4NjQifQ==</vt:lpwstr>
  </property>
</Properties>
</file>