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6C8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6" w:lineRule="atLeast"/>
        <w:ind w:left="0" w:right="0"/>
        <w:jc w:val="center"/>
        <w:rPr>
          <w:b/>
          <w:bCs/>
          <w:color w:val="185AAD"/>
          <w:sz w:val="36"/>
          <w:szCs w:val="36"/>
        </w:rPr>
      </w:pPr>
      <w:r>
        <w:rPr>
          <w:rFonts w:ascii="宋体" w:hAnsi="宋体" w:eastAsia="宋体" w:cs="宋体"/>
          <w:b/>
          <w:bCs/>
          <w:color w:val="185AAD"/>
          <w:kern w:val="0"/>
          <w:sz w:val="36"/>
          <w:szCs w:val="36"/>
          <w:bdr w:val="none" w:color="auto" w:sz="0" w:space="0"/>
          <w:lang w:val="en-US" w:eastAsia="zh-CN" w:bidi="ar"/>
        </w:rPr>
        <w:t>广州市人力资源和社会保障局关于公布第十二批广州市博士后创新实践基地名单的通知</w:t>
      </w:r>
    </w:p>
    <w:p w14:paraId="2C5550CE">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225" w:beforeAutospacing="0" w:after="0" w:afterAutospacing="0"/>
        <w:ind w:left="0" w:right="0"/>
        <w:jc w:val="left"/>
        <w:rPr>
          <w:color w:val="666666"/>
          <w:sz w:val="18"/>
          <w:szCs w:val="18"/>
        </w:rPr>
      </w:pPr>
      <w:r>
        <w:rPr>
          <w:rFonts w:ascii="宋体" w:hAnsi="宋体" w:eastAsia="宋体" w:cs="宋体"/>
          <w:color w:val="666666"/>
          <w:kern w:val="0"/>
          <w:sz w:val="18"/>
          <w:szCs w:val="18"/>
          <w:shd w:val="clear" w:fill="F5F5F5"/>
          <w:lang w:val="en-US" w:eastAsia="zh-CN" w:bidi="ar"/>
        </w:rPr>
        <w:t>发表时间： 2025-02-19 14:50</w:t>
      </w:r>
      <w:r>
        <w:rPr>
          <w:rFonts w:ascii="宋体" w:hAnsi="宋体" w:eastAsia="宋体" w:cs="宋体"/>
          <w:color w:val="666666"/>
          <w:kern w:val="0"/>
          <w:sz w:val="18"/>
          <w:szCs w:val="18"/>
          <w:bdr w:val="none" w:color="auto" w:sz="0" w:space="0"/>
          <w:shd w:val="clear" w:fill="F5F5F5"/>
          <w:lang w:val="en-US" w:eastAsia="zh-CN" w:bidi="ar"/>
        </w:rPr>
        <w:t> </w:t>
      </w:r>
      <w:r>
        <w:rPr>
          <w:rFonts w:ascii="宋体" w:hAnsi="宋体" w:eastAsia="宋体" w:cs="宋体"/>
          <w:color w:val="666666"/>
          <w:kern w:val="0"/>
          <w:sz w:val="18"/>
          <w:szCs w:val="18"/>
          <w:shd w:val="clear" w:fill="F5F5F5"/>
          <w:lang w:val="en-US" w:eastAsia="zh-CN" w:bidi="ar"/>
        </w:rPr>
        <w:t>信息来源： 市人力资源社会保障局 专技处浏览字号：</w:t>
      </w:r>
      <w:r>
        <w:rPr>
          <w:rFonts w:ascii="宋体" w:hAnsi="宋体" w:eastAsia="宋体" w:cs="宋体"/>
          <w:color w:val="666666"/>
          <w:kern w:val="0"/>
          <w:sz w:val="18"/>
          <w:szCs w:val="18"/>
          <w:u w:val="none"/>
          <w:shd w:val="clear" w:fill="F5F5F5"/>
          <w:lang w:val="en-US" w:eastAsia="zh-CN" w:bidi="ar"/>
        </w:rPr>
        <w:fldChar w:fldCharType="begin"/>
      </w:r>
      <w:r>
        <w:rPr>
          <w:rFonts w:ascii="宋体" w:hAnsi="宋体" w:eastAsia="宋体" w:cs="宋体"/>
          <w:color w:val="666666"/>
          <w:kern w:val="0"/>
          <w:sz w:val="18"/>
          <w:szCs w:val="18"/>
          <w:u w:val="none"/>
          <w:shd w:val="clear" w:fill="F5F5F5"/>
          <w:lang w:val="en-US" w:eastAsia="zh-CN" w:bidi="ar"/>
        </w:rPr>
        <w:instrText xml:space="preserve"> HYPERLINK "javascript:void(0);" \o "大" </w:instrText>
      </w:r>
      <w:r>
        <w:rPr>
          <w:rFonts w:ascii="宋体" w:hAnsi="宋体" w:eastAsia="宋体" w:cs="宋体"/>
          <w:color w:val="666666"/>
          <w:kern w:val="0"/>
          <w:sz w:val="18"/>
          <w:szCs w:val="18"/>
          <w:u w:val="none"/>
          <w:shd w:val="clear" w:fill="F5F5F5"/>
          <w:lang w:val="en-US" w:eastAsia="zh-CN" w:bidi="ar"/>
        </w:rPr>
        <w:fldChar w:fldCharType="separate"/>
      </w:r>
      <w:r>
        <w:rPr>
          <w:rStyle w:val="6"/>
          <w:rFonts w:ascii="宋体" w:hAnsi="宋体" w:eastAsia="宋体" w:cs="宋体"/>
          <w:b w:val="0"/>
          <w:bCs w:val="0"/>
          <w:color w:val="666666"/>
          <w:sz w:val="18"/>
          <w:szCs w:val="18"/>
          <w:u w:val="none"/>
          <w:shd w:val="clear" w:fill="F5F5F5"/>
        </w:rPr>
        <w:t>大</w:t>
      </w:r>
      <w:r>
        <w:rPr>
          <w:rFonts w:ascii="宋体" w:hAnsi="宋体" w:eastAsia="宋体" w:cs="宋体"/>
          <w:color w:val="666666"/>
          <w:kern w:val="0"/>
          <w:sz w:val="18"/>
          <w:szCs w:val="18"/>
          <w:u w:val="none"/>
          <w:shd w:val="clear" w:fill="F5F5F5"/>
          <w:lang w:val="en-US" w:eastAsia="zh-CN" w:bidi="ar"/>
        </w:rPr>
        <w:fldChar w:fldCharType="end"/>
      </w:r>
      <w:r>
        <w:rPr>
          <w:rFonts w:ascii="宋体" w:hAnsi="宋体" w:eastAsia="宋体" w:cs="宋体"/>
          <w:color w:val="666666"/>
          <w:kern w:val="0"/>
          <w:sz w:val="18"/>
          <w:szCs w:val="18"/>
          <w:u w:val="none"/>
          <w:shd w:val="clear" w:fill="F5F5F5"/>
          <w:lang w:val="en-US" w:eastAsia="zh-CN" w:bidi="ar"/>
        </w:rPr>
        <w:fldChar w:fldCharType="begin"/>
      </w:r>
      <w:r>
        <w:rPr>
          <w:rFonts w:ascii="宋体" w:hAnsi="宋体" w:eastAsia="宋体" w:cs="宋体"/>
          <w:color w:val="666666"/>
          <w:kern w:val="0"/>
          <w:sz w:val="18"/>
          <w:szCs w:val="18"/>
          <w:u w:val="none"/>
          <w:shd w:val="clear" w:fill="F5F5F5"/>
          <w:lang w:val="en-US" w:eastAsia="zh-CN" w:bidi="ar"/>
        </w:rPr>
        <w:instrText xml:space="preserve"> HYPERLINK "javascript:void(0);" \o "中" </w:instrText>
      </w:r>
      <w:r>
        <w:rPr>
          <w:rFonts w:ascii="宋体" w:hAnsi="宋体" w:eastAsia="宋体" w:cs="宋体"/>
          <w:color w:val="666666"/>
          <w:kern w:val="0"/>
          <w:sz w:val="18"/>
          <w:szCs w:val="18"/>
          <w:u w:val="none"/>
          <w:shd w:val="clear" w:fill="F5F5F5"/>
          <w:lang w:val="en-US" w:eastAsia="zh-CN" w:bidi="ar"/>
        </w:rPr>
        <w:fldChar w:fldCharType="separate"/>
      </w:r>
      <w:r>
        <w:rPr>
          <w:rStyle w:val="6"/>
          <w:rFonts w:ascii="宋体" w:hAnsi="宋体" w:eastAsia="宋体" w:cs="宋体"/>
          <w:b w:val="0"/>
          <w:bCs w:val="0"/>
          <w:color w:val="666666"/>
          <w:sz w:val="18"/>
          <w:szCs w:val="18"/>
          <w:u w:val="none"/>
          <w:shd w:val="clear" w:fill="F5F5F5"/>
        </w:rPr>
        <w:t>中</w:t>
      </w:r>
      <w:r>
        <w:rPr>
          <w:rFonts w:ascii="宋体" w:hAnsi="宋体" w:eastAsia="宋体" w:cs="宋体"/>
          <w:color w:val="666666"/>
          <w:kern w:val="0"/>
          <w:sz w:val="18"/>
          <w:szCs w:val="18"/>
          <w:u w:val="none"/>
          <w:shd w:val="clear" w:fill="F5F5F5"/>
          <w:lang w:val="en-US" w:eastAsia="zh-CN" w:bidi="ar"/>
        </w:rPr>
        <w:fldChar w:fldCharType="end"/>
      </w:r>
      <w:r>
        <w:rPr>
          <w:rFonts w:ascii="宋体" w:hAnsi="宋体" w:eastAsia="宋体" w:cs="宋体"/>
          <w:color w:val="666666"/>
          <w:kern w:val="0"/>
          <w:sz w:val="18"/>
          <w:szCs w:val="18"/>
          <w:u w:val="none"/>
          <w:shd w:val="clear" w:fill="F5F5F5"/>
          <w:lang w:val="en-US" w:eastAsia="zh-CN" w:bidi="ar"/>
        </w:rPr>
        <w:fldChar w:fldCharType="begin"/>
      </w:r>
      <w:r>
        <w:rPr>
          <w:rFonts w:ascii="宋体" w:hAnsi="宋体" w:eastAsia="宋体" w:cs="宋体"/>
          <w:color w:val="666666"/>
          <w:kern w:val="0"/>
          <w:sz w:val="18"/>
          <w:szCs w:val="18"/>
          <w:u w:val="none"/>
          <w:shd w:val="clear" w:fill="F5F5F5"/>
          <w:lang w:val="en-US" w:eastAsia="zh-CN" w:bidi="ar"/>
        </w:rPr>
        <w:instrText xml:space="preserve"> HYPERLINK "javascript:void(0);" \o "小" </w:instrText>
      </w:r>
      <w:r>
        <w:rPr>
          <w:rFonts w:ascii="宋体" w:hAnsi="宋体" w:eastAsia="宋体" w:cs="宋体"/>
          <w:color w:val="666666"/>
          <w:kern w:val="0"/>
          <w:sz w:val="18"/>
          <w:szCs w:val="18"/>
          <w:u w:val="none"/>
          <w:shd w:val="clear" w:fill="F5F5F5"/>
          <w:lang w:val="en-US" w:eastAsia="zh-CN" w:bidi="ar"/>
        </w:rPr>
        <w:fldChar w:fldCharType="separate"/>
      </w:r>
      <w:r>
        <w:rPr>
          <w:rStyle w:val="6"/>
          <w:rFonts w:ascii="宋体" w:hAnsi="宋体" w:eastAsia="宋体" w:cs="宋体"/>
          <w:b w:val="0"/>
          <w:bCs w:val="0"/>
          <w:color w:val="666666"/>
          <w:sz w:val="18"/>
          <w:szCs w:val="18"/>
          <w:u w:val="none"/>
          <w:shd w:val="clear" w:fill="F5F5F5"/>
        </w:rPr>
        <w:t>小</w:t>
      </w:r>
      <w:r>
        <w:rPr>
          <w:rFonts w:ascii="宋体" w:hAnsi="宋体" w:eastAsia="宋体" w:cs="宋体"/>
          <w:color w:val="666666"/>
          <w:kern w:val="0"/>
          <w:sz w:val="18"/>
          <w:szCs w:val="18"/>
          <w:u w:val="none"/>
          <w:shd w:val="clear" w:fill="F5F5F5"/>
          <w:lang w:val="en-US" w:eastAsia="zh-CN" w:bidi="ar"/>
        </w:rPr>
        <w:fldChar w:fldCharType="end"/>
      </w:r>
    </w:p>
    <w:p w14:paraId="6F607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bdr w:val="none" w:color="auto" w:sz="0" w:space="0"/>
        </w:rPr>
        <w:t>各区人力资源和社会保障局（博士后管理部门），市直有关单位：</w:t>
      </w:r>
    </w:p>
    <w:p w14:paraId="02EA22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bdr w:val="none" w:color="auto" w:sz="0" w:space="0"/>
        </w:rPr>
        <w:t>　　根据《广州市贯彻落实〈关于加快新时代博士和博士后人才创新发展的若干意见〉的实施意见》（穗组通〔2019〕42号）、《广州市博士后管理服务工作实施办法》（穗人社规字〔2024〕5号），经单位申报、主管部门审核、专家评审、市人力资源社会保障局核准和公示，现将第十二批广州市博士后创新实践基地名单予以公布（详见附件），并就有关要求通知如下：</w:t>
      </w:r>
    </w:p>
    <w:p w14:paraId="582D5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r>
        <w:rPr>
          <w:rStyle w:val="5"/>
          <w:rFonts w:hint="eastAsia" w:ascii="宋体" w:hAnsi="宋体" w:eastAsia="宋体" w:cs="宋体"/>
          <w:color w:val="333333"/>
          <w:sz w:val="24"/>
          <w:szCs w:val="24"/>
          <w:bdr w:val="none" w:color="auto" w:sz="0" w:space="0"/>
        </w:rPr>
        <w:t>　　一、加强招收培养，推动科技创新</w:t>
      </w:r>
    </w:p>
    <w:p w14:paraId="1FE29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bdr w:val="none" w:color="auto" w:sz="0" w:space="0"/>
        </w:rPr>
        <w:t>　　博士后创新实践基地是引进培养博士后青年创新人才的重要平台。各博士后创新实践基地要加强与高校、科研院所的产学研合作，按照相关规定委托博士后科研流动站招收培养适应广州高质量发展所需的博士后人才，为博士后人员提供良好的科研和生活条件，大力支持博士后人员开展科技创新、参加创新创业大赛、推动科技成果转化，加快培养一批具有国际竞争力的青年科技人才后备军，进一步发挥博士后制度在推动企业创新和科技进步中的重要作用。</w:t>
      </w:r>
    </w:p>
    <w:p w14:paraId="6886A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r>
        <w:rPr>
          <w:rStyle w:val="5"/>
          <w:rFonts w:hint="eastAsia" w:ascii="宋体" w:hAnsi="宋体" w:eastAsia="宋体" w:cs="宋体"/>
          <w:color w:val="333333"/>
          <w:sz w:val="24"/>
          <w:szCs w:val="24"/>
          <w:bdr w:val="none" w:color="auto" w:sz="0" w:space="0"/>
        </w:rPr>
        <w:t>　　二、强化主体责任，完善基地建设</w:t>
      </w:r>
    </w:p>
    <w:p w14:paraId="10F571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bdr w:val="none" w:color="auto" w:sz="0" w:space="0"/>
        </w:rPr>
        <w:t>　　设立博士后创新实践基地的单位是对博士后人员进行管理的责任主体，要认真学习和落实国家、省、市博士后工作相关政策，制定本单位博士后工作具体管理办法，明确专门的管理机构，安排专人负责博士后日常管理服务工作。各博士后创新实践基地要主动配合各级博士后管理部门的管理，及时做好博士后进出退站备查以及相关资助等申领工作，每年于12月1日前向市人力资源社会保障局报送本年度博士后工作情况。各博士后创新实践基地在招收1名以上博士后人员进站半年后，可按照《广州市博士后管理服务工作实施办法》（穗人社规字〔2024〕5号）相关规定向市人力资源社会保障局申请新设站（基地）资助。</w:t>
      </w:r>
    </w:p>
    <w:p w14:paraId="2ABE29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r>
        <w:rPr>
          <w:rStyle w:val="5"/>
          <w:rFonts w:hint="eastAsia" w:ascii="宋体" w:hAnsi="宋体" w:eastAsia="宋体" w:cs="宋体"/>
          <w:color w:val="333333"/>
          <w:sz w:val="24"/>
          <w:szCs w:val="24"/>
          <w:bdr w:val="none" w:color="auto" w:sz="0" w:space="0"/>
        </w:rPr>
        <w:t>　　三、严格规范管理，加强指导服务</w:t>
      </w:r>
    </w:p>
    <w:p w14:paraId="327FF5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bdr w:val="none" w:color="auto" w:sz="0" w:space="0"/>
        </w:rPr>
        <w:t>　　博士后创新实践基地实行动态管理和定期评估，市人力资源社会保障局定期组织开展博士后创新实践基地评估工作，对制度健全、管理规范、成绩突出的博士后创新实践基地择优推荐申报设立博士后科研工作站。各区博士后管理部门要履行好属地管理责任，加强对本区博士后创新实践基地的指导、监督、管理和服务，认真落实相关政策，及时帮助基地解决建设和运行中的困难和问题。</w:t>
      </w:r>
    </w:p>
    <w:p w14:paraId="6F1C7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bdr w:val="none" w:color="auto" w:sz="0" w:space="0"/>
        </w:rPr>
        <w:t>　　特此通知。</w:t>
      </w:r>
    </w:p>
    <w:p w14:paraId="44950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p>
    <w:p w14:paraId="13A74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bdr w:val="none" w:color="auto" w:sz="0" w:space="0"/>
        </w:rPr>
        <w:t>　　附件：第十二批广州市博士后创新实践基地入选单位名单</w:t>
      </w:r>
    </w:p>
    <w:p w14:paraId="39950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p>
    <w:p w14:paraId="6A17C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40" w:lineRule="auto"/>
        <w:ind w:left="0" w:right="0"/>
        <w:jc w:val="right"/>
        <w:rPr>
          <w:rFonts w:hint="eastAsia" w:ascii="宋体" w:hAnsi="宋体" w:eastAsia="宋体" w:cs="宋体"/>
          <w:sz w:val="24"/>
          <w:szCs w:val="24"/>
        </w:rPr>
      </w:pPr>
      <w:r>
        <w:rPr>
          <w:rFonts w:hint="eastAsia" w:ascii="宋体" w:hAnsi="宋体" w:eastAsia="宋体" w:cs="宋体"/>
          <w:color w:val="333333"/>
          <w:sz w:val="24"/>
          <w:szCs w:val="24"/>
          <w:bdr w:val="none" w:color="auto" w:sz="0" w:space="0"/>
        </w:rPr>
        <w:t>广州市人力资源和社会保障局</w:t>
      </w:r>
    </w:p>
    <w:p w14:paraId="1F878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40" w:lineRule="auto"/>
        <w:ind w:left="0" w:right="0"/>
        <w:jc w:val="right"/>
        <w:rPr>
          <w:rFonts w:hint="eastAsia" w:ascii="宋体" w:hAnsi="宋体" w:eastAsia="宋体" w:cs="宋体"/>
          <w:sz w:val="24"/>
          <w:szCs w:val="24"/>
        </w:rPr>
      </w:pPr>
      <w:r>
        <w:rPr>
          <w:rFonts w:hint="eastAsia" w:ascii="宋体" w:hAnsi="宋体" w:eastAsia="宋体" w:cs="宋体"/>
          <w:color w:val="333333"/>
          <w:sz w:val="24"/>
          <w:szCs w:val="24"/>
          <w:bdr w:val="none" w:color="auto" w:sz="0" w:space="0"/>
        </w:rPr>
        <w:t>2025年2月19日</w:t>
      </w:r>
    </w:p>
    <w:p w14:paraId="6F497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bdr w:val="none" w:color="auto" w:sz="0" w:space="0"/>
        </w:rPr>
        <w:t>　　（承办处室：专业技术人员管理处，联系人：王君莲，联系电话：020-83724757）</w:t>
      </w:r>
    </w:p>
    <w:p w14:paraId="1EBDA7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p>
    <w:p w14:paraId="1CA06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bdr w:val="none" w:color="auto" w:sz="0" w:space="0"/>
        </w:rPr>
        <w:t>附件</w:t>
      </w:r>
    </w:p>
    <w:p w14:paraId="08694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center"/>
        <w:rPr>
          <w:rFonts w:hint="eastAsia" w:ascii="宋体" w:hAnsi="宋体" w:eastAsia="宋体" w:cs="宋体"/>
          <w:sz w:val="24"/>
          <w:szCs w:val="24"/>
        </w:rPr>
      </w:pPr>
      <w:r>
        <w:rPr>
          <w:rStyle w:val="5"/>
          <w:rFonts w:hint="eastAsia" w:ascii="宋体" w:hAnsi="宋体" w:eastAsia="宋体" w:cs="宋体"/>
          <w:color w:val="333333"/>
          <w:sz w:val="24"/>
          <w:szCs w:val="24"/>
          <w:bdr w:val="none" w:color="auto" w:sz="0" w:space="0"/>
        </w:rPr>
        <w:t>第十二批广州市博士后创新实践基地入选单位名单</w:t>
      </w:r>
    </w:p>
    <w:tbl>
      <w:tblPr>
        <w:tblW w:w="7679"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1287"/>
        <w:gridCol w:w="6392"/>
      </w:tblGrid>
      <w:tr w14:paraId="0ACB83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top"/>
          </w:tcPr>
          <w:p w14:paraId="3B0805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bookmarkStart w:id="0" w:name="_GoBack"/>
            <w:r>
              <w:rPr>
                <w:rStyle w:val="5"/>
                <w:rFonts w:hint="eastAsia" w:ascii="宋体" w:hAnsi="宋体" w:eastAsia="宋体" w:cs="宋体"/>
                <w:sz w:val="24"/>
                <w:szCs w:val="24"/>
                <w:bdr w:val="none" w:color="auto" w:sz="0" w:space="0"/>
              </w:rPr>
              <w:t>序号</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top"/>
          </w:tcPr>
          <w:p w14:paraId="7E8256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Style w:val="5"/>
                <w:rFonts w:hint="eastAsia" w:ascii="宋体" w:hAnsi="宋体" w:eastAsia="宋体" w:cs="宋体"/>
                <w:sz w:val="24"/>
                <w:szCs w:val="24"/>
                <w:bdr w:val="none" w:color="auto" w:sz="0" w:space="0"/>
              </w:rPr>
              <w:t>单位名称</w:t>
            </w:r>
          </w:p>
        </w:tc>
      </w:tr>
      <w:tr w14:paraId="5B864D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011B2C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1</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42B8B2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广州国标检验检测有限公司</w:t>
            </w:r>
          </w:p>
        </w:tc>
      </w:tr>
      <w:tr w14:paraId="37867E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3AC6C5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2</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24A3BB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广州市科能化妆品科研有限公司</w:t>
            </w:r>
          </w:p>
        </w:tc>
      </w:tr>
      <w:tr w14:paraId="5E46CA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6F3CF4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3</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40617E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广州新济药业科技有限公司</w:t>
            </w:r>
          </w:p>
        </w:tc>
      </w:tr>
      <w:tr w14:paraId="7CD5F3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159CB5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4</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194EAD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广州市老年医院</w:t>
            </w:r>
          </w:p>
        </w:tc>
      </w:tr>
      <w:tr w14:paraId="48159C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3F4E86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5</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59547F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广州卓远虚拟现实科技股份有限公司</w:t>
            </w:r>
          </w:p>
        </w:tc>
      </w:tr>
      <w:tr w14:paraId="0807DE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07B938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6</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210AA4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广州交信投科技股份有限公司</w:t>
            </w:r>
          </w:p>
        </w:tc>
      </w:tr>
      <w:tr w14:paraId="15395E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028E13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7</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67266C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广州南方测绘科技股份有限公司</w:t>
            </w:r>
          </w:p>
        </w:tc>
      </w:tr>
      <w:tr w14:paraId="156716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2FB340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8</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2DB4AA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广州燃气集团有限公司</w:t>
            </w:r>
          </w:p>
        </w:tc>
      </w:tr>
      <w:tr w14:paraId="766CF2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6AEE80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9</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0606AB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广州市盛通建设工程质量检测有限公司</w:t>
            </w:r>
          </w:p>
        </w:tc>
      </w:tr>
      <w:tr w14:paraId="625DE5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08378D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10</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641838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广州建筑湾区智造科技有限公司</w:t>
            </w:r>
          </w:p>
        </w:tc>
      </w:tr>
      <w:tr w14:paraId="0B1B33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29FF9D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11</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60C6D5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广州市第二市政工程有限公司</w:t>
            </w:r>
          </w:p>
        </w:tc>
      </w:tr>
      <w:tr w14:paraId="499648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4D2DD1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12</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662836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广州环投永兴集团股份有限公司</w:t>
            </w:r>
          </w:p>
        </w:tc>
      </w:tr>
      <w:tr w14:paraId="263CBF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0DBC51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13</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1A2A91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顺科智连技术股份有限公司</w:t>
            </w:r>
          </w:p>
        </w:tc>
      </w:tr>
      <w:tr w14:paraId="6B41D4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7C8188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14</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11E766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广州瑞松智能科技股份有限公司</w:t>
            </w:r>
          </w:p>
        </w:tc>
      </w:tr>
      <w:tr w14:paraId="31296F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13C870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15</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113C93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广州高澜节能技术股份有限公司</w:t>
            </w:r>
          </w:p>
        </w:tc>
      </w:tr>
      <w:tr w14:paraId="256735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3C2A06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16</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2F47E1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广州超视计生物科技有限公司</w:t>
            </w:r>
          </w:p>
        </w:tc>
      </w:tr>
      <w:tr w14:paraId="6C7F7F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62AA56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17</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1A3506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广州瑞丰生物科技有限公司</w:t>
            </w:r>
          </w:p>
        </w:tc>
      </w:tr>
      <w:tr w14:paraId="47B61A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772539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18</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413707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广州工控资本管理有限公司</w:t>
            </w:r>
          </w:p>
        </w:tc>
      </w:tr>
      <w:tr w14:paraId="49D155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6C4DB6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19</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34DDDE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广州国际仲裁院（广州国际仲裁中心、广州仲裁委员会）</w:t>
            </w:r>
          </w:p>
        </w:tc>
      </w:tr>
      <w:tr w14:paraId="52848E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755D81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20</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13A67C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广州市天河区教育发展研究院（广州市天河区教师发展中心）</w:t>
            </w:r>
          </w:p>
        </w:tc>
      </w:tr>
      <w:tr w14:paraId="5CFAF9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6FA2BB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21</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03E10F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广州黑格智造信息科技有限公司</w:t>
            </w:r>
          </w:p>
        </w:tc>
      </w:tr>
      <w:tr w14:paraId="22639E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7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109BDF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22</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14B301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广州环亚化妆品科技股份有限公司</w:t>
            </w:r>
          </w:p>
        </w:tc>
      </w:tr>
      <w:tr w14:paraId="04E629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91" w:hRule="atLeast"/>
        </w:trPr>
        <w:tc>
          <w:tcPr>
            <w:tcW w:w="128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60FEBA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23</w:t>
            </w:r>
          </w:p>
        </w:tc>
        <w:tc>
          <w:tcPr>
            <w:tcW w:w="639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71269C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宋体" w:hAnsi="宋体" w:eastAsia="宋体" w:cs="宋体"/>
                <w:sz w:val="24"/>
                <w:szCs w:val="24"/>
                <w:bdr w:val="none" w:color="auto" w:sz="0" w:space="0"/>
              </w:rPr>
              <w:t>广电计量检测集团股份有限公司</w:t>
            </w:r>
          </w:p>
        </w:tc>
      </w:tr>
      <w:bookmarkEnd w:id="0"/>
    </w:tbl>
    <w:p w14:paraId="78DA59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p>
    <w:p w14:paraId="0A7E8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both"/>
        <w:rPr>
          <w:rFonts w:hint="eastAsia" w:ascii="宋体" w:hAnsi="宋体" w:eastAsia="宋体" w:cs="宋体"/>
          <w:sz w:val="24"/>
          <w:szCs w:val="24"/>
        </w:rPr>
      </w:pPr>
    </w:p>
    <w:p w14:paraId="4C3F40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65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2025-03-31T07:32:54Z</dcterms:created>
  <dc:creator>skx</dc:creator>
  <cp:lastModifiedBy>芬达不爱可乐</cp:lastModifiedBy>
  <dcterms:modified xsi:type="dcterms:W3CDTF">2025-03-31T07:33:10Z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eyJoZGlkIjoiNDVmM2UzYTdmYmJlNGJhOWE2NTgxMWE0ZGZkY2JlZjQiLCJ1c2VySWQiOiIxMTM5NzQzMTk2In0=</vt:lpwstr>
  </property>
  <property fmtid="{D5CDD505-2E9C-101B-9397-08002B2CF9AE}" pid="4" name="ICV">
    <vt:lpwstr>70689A47897E4569899D69350BFBDCEC_12</vt:lpwstr>
  </property>
</Properties>
</file>