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10"/>
        <w:rPr>
          <w:rFonts w:ascii="Times New Roman"/>
        </w:rPr>
      </w:pPr>
      <w:r>
        <w:rPr>
          <w:rFonts w:ascii="Times New Roman"/>
          <w:spacing w:val="-2"/>
        </w:rPr>
        <w:t>HZ0320240003</w:t>
      </w:r>
    </w:p>
    <w:p>
      <w:pPr>
        <w:pStyle w:val="BodyText"/>
        <w:ind w:left="0"/>
        <w:rPr>
          <w:rFonts w:ascii="Times New Roman"/>
          <w:sz w:val="72"/>
        </w:rPr>
      </w:pPr>
    </w:p>
    <w:p>
      <w:pPr>
        <w:pStyle w:val="BodyText"/>
        <w:spacing w:before="121"/>
        <w:ind w:left="0"/>
        <w:rPr>
          <w:rFonts w:ascii="Times New Roman"/>
          <w:sz w:val="72"/>
        </w:rPr>
      </w:pPr>
    </w:p>
    <w:p>
      <w:pPr>
        <w:pStyle w:val="Title"/>
        <w:spacing w:line="189" w:lineRule="auto"/>
      </w:pPr>
      <w:r>
        <w:rPr>
          <w:color w:val="FF0000"/>
          <w:spacing w:val="26"/>
          <w:w w:val="46"/>
        </w:rPr>
        <w:t>广州琶洲人工智能与数字经济试验区管理委员会</w:t>
      </w:r>
      <w:r>
        <w:rPr>
          <w:color w:val="FF0000"/>
          <w:spacing w:val="14"/>
          <w:w w:val="64"/>
          <w:position w:val="-73"/>
          <w:sz w:val="114"/>
        </w:rPr>
        <w:t>文件</w:t>
      </w:r>
      <w:r>
        <w:rPr>
          <w:color w:val="FF0000"/>
          <w:spacing w:val="110"/>
          <w:w w:val="46"/>
        </w:rPr>
        <w:t>广州市海珠区科技工业商务和信息化局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"/>
        <w:ind w:left="0"/>
      </w:pPr>
    </w:p>
    <w:p>
      <w:pPr>
        <w:pStyle w:val="BodyText"/>
        <w:ind w:left="0" w:right="4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1007110</wp:posOffset>
                </wp:positionH>
                <wp:positionV relativeFrom="paragraph">
                  <wp:posOffset>276226</wp:posOffset>
                </wp:positionV>
                <wp:extent cx="5615305" cy="1651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615305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305" h="16510">
                              <a:moveTo>
                                <a:pt x="5615305" y="16510"/>
                              </a:moveTo>
                              <a:lnTo>
                                <a:pt x="0" y="15875"/>
                              </a:lnTo>
                              <a:lnTo>
                                <a:pt x="0" y="0"/>
                              </a:lnTo>
                              <a:lnTo>
                                <a:pt x="5615305" y="635"/>
                              </a:lnTo>
                              <a:lnTo>
                                <a:pt x="5615305" y="1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00003pt;margin-top:21.750156pt;width:442.15pt;height:1.3pt;mso-position-horizontal-relative:page;mso-position-vertical-relative:paragraph;z-index:-15728640;mso-wrap-distance-left:0;mso-wrap-distance-right:0" id="docshape3" coordorigin="1586,435" coordsize="8843,26" path="m10429,461l1586,460,1586,435,10429,436,10429,461xe" filled="true" fillcolor="#ff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pacing w:val="-2"/>
        </w:rPr>
        <w:t>海科工商信规字〔</w:t>
      </w:r>
      <w:r>
        <w:rPr>
          <w:rFonts w:ascii="Times New Roman" w:eastAsia="Times New Roman"/>
          <w:spacing w:val="-2"/>
        </w:rPr>
        <w:t>2024</w:t>
      </w:r>
      <w:r>
        <w:rPr>
          <w:spacing w:val="-2"/>
        </w:rPr>
        <w:t>〕</w:t>
      </w:r>
      <w:r>
        <w:rPr>
          <w:rFonts w:ascii="Times New Roman" w:eastAsia="Times New Roman"/>
          <w:spacing w:val="-2"/>
        </w:rPr>
        <w:t>1</w:t>
      </w:r>
      <w:r>
        <w:rPr>
          <w:rFonts w:ascii="Times New Roman" w:eastAsia="Times New Roman"/>
          <w:spacing w:val="-3"/>
        </w:rPr>
        <w:t> </w:t>
      </w:r>
      <w:r>
        <w:rPr>
          <w:spacing w:val="-10"/>
        </w:rPr>
        <w:t>号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5"/>
        <w:ind w:left="0"/>
      </w:pPr>
    </w:p>
    <w:p>
      <w:pPr>
        <w:pStyle w:val="Heading1"/>
        <w:spacing w:line="237" w:lineRule="auto"/>
        <w:ind w:left="190" w:right="224"/>
      </w:pPr>
      <w:r>
        <w:rPr>
          <w:spacing w:val="-2"/>
        </w:rPr>
        <w:t>广州琶洲人工智能与数字经济试验区管理委员</w:t>
      </w:r>
      <w:r>
        <w:rPr/>
        <w:t>会 广州市海珠区科技工业商务和信息化局关</w:t>
      </w:r>
      <w:r>
        <w:rPr>
          <w:spacing w:val="-2"/>
        </w:rPr>
        <w:t>于印发广州市海珠区建设人工智能大模型</w:t>
      </w:r>
    </w:p>
    <w:p>
      <w:pPr>
        <w:spacing w:before="1"/>
        <w:ind w:left="19" w:right="46" w:firstLine="0"/>
        <w:jc w:val="center"/>
        <w:rPr>
          <w:sz w:val="44"/>
        </w:rPr>
      </w:pPr>
      <w:r>
        <w:rPr>
          <w:spacing w:val="-5"/>
          <w:sz w:val="44"/>
        </w:rPr>
        <w:t>应用示范区实施细则的通知</w:t>
      </w:r>
    </w:p>
    <w:p>
      <w:pPr>
        <w:pStyle w:val="BodyText"/>
        <w:spacing w:before="116"/>
        <w:ind w:left="0"/>
        <w:rPr>
          <w:sz w:val="44"/>
        </w:rPr>
      </w:pPr>
    </w:p>
    <w:p>
      <w:pPr>
        <w:pStyle w:val="BodyText"/>
      </w:pPr>
      <w:r>
        <w:rPr>
          <w:spacing w:val="-5"/>
        </w:rPr>
        <w:t>各有关单位：</w:t>
      </w:r>
    </w:p>
    <w:p>
      <w:pPr>
        <w:pStyle w:val="BodyText"/>
        <w:spacing w:line="326" w:lineRule="auto" w:before="149"/>
        <w:ind w:right="198" w:firstLine="640"/>
      </w:pPr>
      <w:r>
        <w:rPr>
          <w:spacing w:val="-8"/>
        </w:rPr>
        <w:t>为进一步促进海珠区人工智能大模型产业发展，加快建设人</w:t>
      </w:r>
      <w:r>
        <w:rPr>
          <w:spacing w:val="-13"/>
        </w:rPr>
        <w:t>工智能大模型应用示范区，现将《广州市海珠区建设人工智能大</w:t>
      </w:r>
    </w:p>
    <w:p>
      <w:pPr>
        <w:pStyle w:val="BodyText"/>
        <w:spacing w:after="0" w:line="326" w:lineRule="auto"/>
        <w:sectPr>
          <w:footerReference w:type="default" r:id="rId5"/>
          <w:footerReference w:type="even" r:id="rId6"/>
          <w:type w:val="continuous"/>
          <w:pgSz w:w="11910" w:h="16840"/>
          <w:pgMar w:header="0" w:footer="1190" w:top="1920" w:bottom="1380" w:left="1417" w:right="1275"/>
          <w:pgNumType w:start="1"/>
        </w:sectPr>
      </w:pPr>
    </w:p>
    <w:p>
      <w:pPr>
        <w:pStyle w:val="BodyText"/>
        <w:spacing w:before="289"/>
      </w:pPr>
      <w:r>
        <w:rPr>
          <w:spacing w:val="-5"/>
        </w:rPr>
        <w:t>模型应用示范区实施细则》印发给你们，请遵照执行。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48"/>
        <w:ind w:left="0"/>
      </w:pPr>
    </w:p>
    <w:p>
      <w:pPr>
        <w:pStyle w:val="BodyText"/>
        <w:tabs>
          <w:tab w:pos="5130" w:val="left" w:leader="none"/>
          <w:tab w:pos="5770" w:val="left" w:leader="none"/>
        </w:tabs>
        <w:spacing w:line="364" w:lineRule="auto"/>
        <w:ind w:left="810" w:right="882" w:hanging="641"/>
      </w:pPr>
      <w:r>
        <w:rPr>
          <w:spacing w:val="-2"/>
        </w:rPr>
        <w:t>广州琶洲人工智能与数字经济</w:t>
      </w:r>
      <w:r>
        <w:rPr/>
        <w:tab/>
      </w:r>
      <w:r>
        <w:rPr>
          <w:spacing w:val="-2"/>
        </w:rPr>
        <w:t>广州市海珠区科技工</w:t>
      </w:r>
      <w:r>
        <w:rPr>
          <w:spacing w:val="-2"/>
        </w:rPr>
        <w:t>业试验区管理委员会</w:t>
      </w:r>
      <w:r>
        <w:rPr/>
        <w:tab/>
        <w:tab/>
      </w:r>
      <w:r>
        <w:rPr>
          <w:spacing w:val="-2"/>
        </w:rPr>
        <w:t>商务和信息化局</w:t>
      </w:r>
    </w:p>
    <w:p>
      <w:pPr>
        <w:pStyle w:val="BodyText"/>
        <w:spacing w:before="1"/>
        <w:ind w:left="5792"/>
      </w:pPr>
      <w:r>
        <w:rPr>
          <w:rFonts w:ascii="Times New Roman" w:eastAsia="Times New Roman"/>
          <w:spacing w:val="-4"/>
        </w:rPr>
        <w:t>2024</w:t>
      </w:r>
      <w:r>
        <w:rPr>
          <w:spacing w:val="-4"/>
        </w:rPr>
        <w:t>年</w:t>
      </w:r>
      <w:r>
        <w:rPr>
          <w:rFonts w:ascii="Times New Roman" w:eastAsia="Times New Roman"/>
          <w:spacing w:val="-4"/>
        </w:rPr>
        <w:t>6</w:t>
      </w:r>
      <w:r>
        <w:rPr>
          <w:spacing w:val="-4"/>
        </w:rPr>
        <w:t>月</w:t>
      </w:r>
      <w:r>
        <w:rPr>
          <w:rFonts w:ascii="Times New Roman" w:eastAsia="Times New Roman"/>
          <w:spacing w:val="-4"/>
        </w:rPr>
        <w:t>17</w:t>
      </w:r>
      <w:r>
        <w:rPr>
          <w:spacing w:val="-10"/>
        </w:rPr>
        <w:t>日</w:t>
      </w:r>
    </w:p>
    <w:p>
      <w:pPr>
        <w:pStyle w:val="BodyText"/>
        <w:spacing w:after="0"/>
        <w:sectPr>
          <w:pgSz w:w="11910" w:h="16840"/>
          <w:pgMar w:header="0" w:footer="1190" w:top="1920" w:bottom="1380" w:left="1417" w:right="1275"/>
        </w:sectPr>
      </w:pPr>
    </w:p>
    <w:p>
      <w:pPr>
        <w:pStyle w:val="Heading1"/>
        <w:spacing w:line="237" w:lineRule="auto" w:before="171"/>
        <w:ind w:left="2821" w:right="1110" w:hanging="1320"/>
        <w:jc w:val="left"/>
      </w:pPr>
      <w:r>
        <w:rPr>
          <w:spacing w:val="-2"/>
        </w:rPr>
        <w:t>广州市海珠区建设人工智能大模型应用示范区实施细则</w:t>
      </w:r>
    </w:p>
    <w:p>
      <w:pPr>
        <w:pStyle w:val="BodyText"/>
        <w:spacing w:line="560" w:lineRule="exact" w:before="554"/>
        <w:ind w:right="196" w:firstLine="640"/>
        <w:jc w:val="both"/>
      </w:pPr>
      <w:r>
        <w:rPr>
          <w:rFonts w:ascii="Microsoft JhengHei" w:eastAsia="Microsoft JhengHei"/>
          <w:b/>
        </w:rPr>
        <w:t>第一条 </w:t>
      </w:r>
      <w:r>
        <w:rPr/>
        <w:t>为加快海珠区人工智能大模型产业高质量发展，就</w:t>
      </w:r>
      <w:r>
        <w:rPr>
          <w:spacing w:val="-11"/>
        </w:rPr>
        <w:t>培育行业大模型优势产业集群、构建环海珠湿地创芯价值圈和打</w:t>
      </w:r>
      <w:r>
        <w:rPr>
          <w:spacing w:val="-13"/>
        </w:rPr>
        <w:t>造数字人才集聚高地，根据广州市相关政策文件，制定本实施细</w:t>
      </w:r>
    </w:p>
    <w:p>
      <w:pPr>
        <w:pStyle w:val="BodyText"/>
        <w:spacing w:before="128"/>
      </w:pPr>
      <w:r>
        <w:rPr>
          <w:spacing w:val="-8"/>
        </w:rPr>
        <w:t>则。</w:t>
      </w:r>
    </w:p>
    <w:p>
      <w:pPr>
        <w:pStyle w:val="BodyText"/>
        <w:spacing w:before="43"/>
        <w:ind w:left="810"/>
        <w:jc w:val="both"/>
      </w:pPr>
      <w:r>
        <w:rPr>
          <w:rFonts w:ascii="Microsoft JhengHei" w:eastAsia="Microsoft JhengHei"/>
          <w:b/>
          <w:spacing w:val="15"/>
        </w:rPr>
        <w:t>第二条 </w:t>
      </w:r>
      <w:r>
        <w:rPr/>
        <w:t>本细则适用于在人工智能大模型应用示范区（</w:t>
      </w:r>
      <w:r>
        <w:rPr>
          <w:spacing w:val="-5"/>
        </w:rPr>
        <w:t>简称</w:t>
      </w:r>
    </w:p>
    <w:p>
      <w:pPr>
        <w:pStyle w:val="BodyText"/>
        <w:spacing w:line="328" w:lineRule="auto" w:before="77"/>
        <w:ind w:right="117"/>
        <w:jc w:val="both"/>
      </w:pPr>
      <w:r>
        <w:rPr>
          <w:rFonts w:ascii="Times New Roman" w:hAnsi="Times New Roman" w:eastAsia="Times New Roman"/>
          <w:spacing w:val="-2"/>
        </w:rPr>
        <w:t>“</w:t>
      </w:r>
      <w:r>
        <w:rPr>
          <w:spacing w:val="-2"/>
        </w:rPr>
        <w:t>示范区</w:t>
      </w:r>
      <w:r>
        <w:rPr>
          <w:rFonts w:ascii="Times New Roman" w:hAnsi="Times New Roman" w:eastAsia="Times New Roman"/>
          <w:spacing w:val="-2"/>
        </w:rPr>
        <w:t>”</w:t>
      </w:r>
      <w:r>
        <w:rPr>
          <w:spacing w:val="-2"/>
        </w:rPr>
        <w:t>）范围内开展经营活动，有健全的财务制度的大模型、</w:t>
      </w:r>
      <w:r>
        <w:rPr>
          <w:spacing w:val="-10"/>
        </w:rPr>
        <w:t>集成电路设计的市场主体，大模型、集成电路设计领域人才和团</w:t>
      </w:r>
      <w:r>
        <w:rPr>
          <w:spacing w:val="-2"/>
        </w:rPr>
        <w:t>队，以及大模型示范空间运营主体。</w:t>
      </w:r>
    </w:p>
    <w:p>
      <w:pPr>
        <w:pStyle w:val="Heading2"/>
        <w:spacing w:line="478" w:lineRule="exact"/>
        <w:jc w:val="both"/>
      </w:pPr>
      <w:r>
        <w:rPr>
          <w:spacing w:val="2"/>
        </w:rPr>
        <w:t>第三条 【新生产经营奖励】</w:t>
      </w:r>
    </w:p>
    <w:p>
      <w:pPr>
        <w:pStyle w:val="BodyText"/>
        <w:spacing w:line="326" w:lineRule="auto" w:before="79"/>
        <w:ind w:right="196" w:firstLine="640"/>
      </w:pPr>
      <w:r>
        <w:rPr>
          <w:spacing w:val="-2"/>
        </w:rPr>
        <w:t>（一</w:t>
      </w:r>
      <w:r>
        <w:rPr>
          <w:spacing w:val="-58"/>
        </w:rPr>
        <w:t>）</w:t>
      </w:r>
      <w:r>
        <w:rPr>
          <w:spacing w:val="-5"/>
        </w:rPr>
        <w:t>大模型企业首次完成国家级生成式人工智能</w:t>
      </w:r>
      <w:r>
        <w:rPr>
          <w:spacing w:val="-2"/>
        </w:rPr>
        <w:t>（大语言</w:t>
      </w:r>
      <w:r>
        <w:rPr/>
        <w:t>模型）</w:t>
      </w:r>
      <w:r>
        <w:rPr>
          <w:spacing w:val="-3"/>
        </w:rPr>
        <w:t>上线备案的，给予最高 </w:t>
      </w:r>
      <w:r>
        <w:rPr>
          <w:rFonts w:ascii="Times New Roman" w:eastAsia="Times New Roman"/>
        </w:rPr>
        <w:t>100 </w:t>
      </w:r>
      <w:r>
        <w:rPr/>
        <w:t>万元一次性奖励。</w:t>
      </w:r>
    </w:p>
    <w:p>
      <w:pPr>
        <w:pStyle w:val="BodyText"/>
        <w:spacing w:line="328" w:lineRule="auto" w:before="3"/>
        <w:ind w:right="39" w:firstLine="640"/>
      </w:pPr>
      <w:r>
        <w:rPr>
          <w:spacing w:val="-2"/>
        </w:rPr>
        <w:t>（二</w:t>
      </w:r>
      <w:r>
        <w:rPr>
          <w:spacing w:val="-115"/>
        </w:rPr>
        <w:t>）</w:t>
      </w:r>
      <w:r>
        <w:rPr>
          <w:spacing w:val="-2"/>
        </w:rPr>
        <w:t>大模型企业首次完成国家级境内互联网信息服务算法</w:t>
      </w:r>
      <w:r>
        <w:rPr>
          <w:spacing w:val="-12"/>
        </w:rPr>
        <w:t>备案或深度合成服务算法备案的，给予最高 </w:t>
      </w:r>
      <w:r>
        <w:rPr>
          <w:rFonts w:ascii="Times New Roman" w:eastAsia="Times New Roman"/>
        </w:rPr>
        <w:t>20</w:t>
      </w:r>
      <w:r>
        <w:rPr>
          <w:rFonts w:ascii="Times New Roman" w:eastAsia="Times New Roman"/>
          <w:spacing w:val="-20"/>
        </w:rPr>
        <w:t> </w:t>
      </w:r>
      <w:r>
        <w:rPr/>
        <w:t>万元一次性奖励。</w:t>
      </w:r>
    </w:p>
    <w:p>
      <w:pPr>
        <w:pStyle w:val="BodyText"/>
        <w:spacing w:line="326" w:lineRule="auto"/>
        <w:ind w:right="196" w:firstLine="640"/>
      </w:pPr>
      <w:r>
        <w:rPr>
          <w:spacing w:val="-10"/>
        </w:rPr>
        <w:t>企业同时符合本条各条件的，按就高补差原则执行，不重复</w:t>
      </w:r>
      <w:r>
        <w:rPr>
          <w:spacing w:val="-4"/>
        </w:rPr>
        <w:t>奖励。</w:t>
      </w:r>
    </w:p>
    <w:p>
      <w:pPr>
        <w:pStyle w:val="Heading2"/>
        <w:spacing w:line="488" w:lineRule="exact"/>
        <w:jc w:val="both"/>
      </w:pPr>
      <w:r>
        <w:rPr>
          <w:spacing w:val="2"/>
        </w:rPr>
        <w:t>第四条 【规模化发展奖励】</w:t>
      </w:r>
    </w:p>
    <w:p>
      <w:pPr>
        <w:pStyle w:val="BodyText"/>
        <w:spacing w:before="74"/>
        <w:ind w:left="810"/>
      </w:pPr>
      <w:r>
        <w:rPr>
          <w:spacing w:val="-4"/>
        </w:rPr>
        <w:t>（一）</w:t>
      </w:r>
      <w:r>
        <w:rPr>
          <w:spacing w:val="-6"/>
        </w:rPr>
        <w:t>大模型企业</w:t>
      </w:r>
    </w:p>
    <w:p>
      <w:pPr>
        <w:pStyle w:val="ListParagraph"/>
        <w:numPr>
          <w:ilvl w:val="0"/>
          <w:numId w:val="1"/>
        </w:numPr>
        <w:tabs>
          <w:tab w:pos="1048" w:val="left" w:leader="none"/>
        </w:tabs>
        <w:spacing w:line="328" w:lineRule="auto" w:before="149" w:after="0"/>
        <w:ind w:left="169" w:right="196" w:firstLine="640"/>
        <w:jc w:val="left"/>
        <w:rPr>
          <w:sz w:val="32"/>
        </w:rPr>
      </w:pPr>
      <w:r>
        <w:rPr>
          <w:spacing w:val="-2"/>
          <w:sz w:val="32"/>
        </w:rPr>
        <w:t>大模型企业新增当年及后两年租赁自用办公用房，年度主</w:t>
      </w:r>
      <w:r>
        <w:rPr>
          <w:spacing w:val="-8"/>
          <w:sz w:val="32"/>
        </w:rPr>
        <w:t>营业务收入分别达到 </w:t>
      </w:r>
      <w:r>
        <w:rPr>
          <w:rFonts w:ascii="Times New Roman" w:eastAsia="Times New Roman"/>
          <w:sz w:val="32"/>
        </w:rPr>
        <w:t>2000 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5000 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1 </w:t>
      </w:r>
      <w:r>
        <w:rPr>
          <w:sz w:val="32"/>
        </w:rPr>
        <w:t>亿元以上，且诚</w:t>
      </w:r>
    </w:p>
    <w:p>
      <w:pPr>
        <w:pStyle w:val="ListParagraph"/>
        <w:spacing w:after="0" w:line="328" w:lineRule="auto"/>
        <w:jc w:val="left"/>
        <w:rPr>
          <w:sz w:val="32"/>
        </w:rPr>
        <w:sectPr>
          <w:pgSz w:w="11910" w:h="16840"/>
          <w:pgMar w:header="0" w:footer="1190" w:top="1920" w:bottom="1380" w:left="1417" w:right="1275"/>
        </w:sectPr>
      </w:pPr>
    </w:p>
    <w:p>
      <w:pPr>
        <w:pStyle w:val="BodyText"/>
        <w:spacing w:line="328" w:lineRule="auto" w:before="289"/>
        <w:ind w:right="198"/>
        <w:jc w:val="both"/>
      </w:pPr>
      <w:r>
        <w:rPr>
          <w:spacing w:val="-15"/>
        </w:rPr>
        <w:t>信经营无重大安全事故的，最高按照当年度场地租金的 </w:t>
      </w:r>
      <w:r>
        <w:rPr>
          <w:rFonts w:ascii="Times New Roman" w:eastAsia="Times New Roman"/>
          <w:spacing w:val="-2"/>
        </w:rPr>
        <w:t>90%</w:t>
      </w:r>
      <w:r>
        <w:rPr>
          <w:spacing w:val="-2"/>
        </w:rPr>
        <w:t>给予</w:t>
      </w:r>
      <w:r>
        <w:rPr>
          <w:spacing w:val="-13"/>
        </w:rPr>
        <w:t>补助，单个企业每年最高 </w:t>
      </w:r>
      <w:r>
        <w:rPr>
          <w:rFonts w:ascii="Times New Roman" w:eastAsia="Times New Roman"/>
          <w:spacing w:val="-2"/>
        </w:rPr>
        <w:t>100</w:t>
      </w:r>
      <w:r>
        <w:rPr>
          <w:rFonts w:ascii="Times New Roman" w:eastAsia="Times New Roman"/>
          <w:spacing w:val="-18"/>
        </w:rPr>
        <w:t> </w:t>
      </w:r>
      <w:r>
        <w:rPr>
          <w:spacing w:val="-10"/>
        </w:rPr>
        <w:t>万元。企业若在新增年度未达到补</w:t>
      </w:r>
      <w:r>
        <w:rPr>
          <w:spacing w:val="-8"/>
        </w:rPr>
        <w:t>助条件但在首个完整会计年度达到补助条件的，可从首个完整会</w:t>
      </w:r>
      <w:r>
        <w:rPr>
          <w:spacing w:val="-2"/>
        </w:rPr>
        <w:t>计年度起算给予补助，所补助年度应在本细则有效期内。</w:t>
      </w:r>
    </w:p>
    <w:p>
      <w:pPr>
        <w:pStyle w:val="ListParagraph"/>
        <w:numPr>
          <w:ilvl w:val="0"/>
          <w:numId w:val="1"/>
        </w:numPr>
        <w:tabs>
          <w:tab w:pos="1048" w:val="left" w:leader="none"/>
        </w:tabs>
        <w:spacing w:line="328" w:lineRule="auto" w:before="0" w:after="0"/>
        <w:ind w:left="169" w:right="39" w:firstLine="640"/>
        <w:jc w:val="both"/>
        <w:rPr>
          <w:sz w:val="32"/>
        </w:rPr>
      </w:pPr>
      <w:r>
        <w:rPr>
          <w:spacing w:val="-2"/>
          <w:sz w:val="32"/>
        </w:rPr>
        <w:t>持有国家级生成式人工智能（大语言模型）上线备案的大</w:t>
      </w:r>
      <w:r>
        <w:rPr>
          <w:spacing w:val="-9"/>
          <w:sz w:val="32"/>
        </w:rPr>
        <w:t>模型企业新成立全资控股子公司的，该全资控股子公司在新增当</w:t>
      </w:r>
      <w:r>
        <w:rPr>
          <w:spacing w:val="-13"/>
          <w:sz w:val="32"/>
        </w:rPr>
        <w:t>年及后两年，租赁自用办公用房但年度主营业务收入未达本项第</w:t>
      </w:r>
      <w:r>
        <w:rPr>
          <w:spacing w:val="-2"/>
          <w:sz w:val="32"/>
        </w:rPr>
        <w:t> </w:t>
      </w:r>
      <w:r>
        <w:rPr>
          <w:rFonts w:ascii="Times New Roman" w:eastAsia="Times New Roman"/>
          <w:sz w:val="32"/>
        </w:rPr>
        <w:t>1</w:t>
      </w:r>
      <w:r>
        <w:rPr>
          <w:rFonts w:ascii="Times New Roman" w:eastAsia="Times New Roman"/>
          <w:spacing w:val="-31"/>
          <w:sz w:val="32"/>
        </w:rPr>
        <w:t> </w:t>
      </w:r>
      <w:r>
        <w:rPr>
          <w:spacing w:val="-12"/>
          <w:sz w:val="32"/>
        </w:rPr>
        <w:t>点补助条件的，最高按照当年度实际场地租金的</w:t>
      </w:r>
      <w:r>
        <w:rPr>
          <w:rFonts w:ascii="Times New Roman" w:eastAsia="Times New Roman"/>
          <w:sz w:val="32"/>
        </w:rPr>
        <w:t>60%</w:t>
      </w:r>
      <w:r>
        <w:rPr>
          <w:sz w:val="32"/>
        </w:rPr>
        <w:t>给予补助，</w:t>
      </w:r>
    </w:p>
    <w:p>
      <w:pPr>
        <w:pStyle w:val="BodyText"/>
        <w:spacing w:line="402" w:lineRule="exact"/>
        <w:jc w:val="both"/>
      </w:pPr>
      <w:r>
        <w:rPr>
          <w:spacing w:val="-11"/>
        </w:rPr>
        <w:t>单个企业每年最高 </w:t>
      </w:r>
      <w:r>
        <w:rPr>
          <w:rFonts w:ascii="Times New Roman" w:eastAsia="Times New Roman"/>
          <w:spacing w:val="-2"/>
        </w:rPr>
        <w:t>80</w:t>
      </w:r>
      <w:r>
        <w:rPr>
          <w:rFonts w:ascii="Times New Roman" w:eastAsia="Times New Roman"/>
          <w:spacing w:val="-5"/>
        </w:rPr>
        <w:t> </w:t>
      </w:r>
      <w:r>
        <w:rPr>
          <w:spacing w:val="-5"/>
        </w:rPr>
        <w:t>万元。</w:t>
      </w:r>
    </w:p>
    <w:p>
      <w:pPr>
        <w:pStyle w:val="ListParagraph"/>
        <w:numPr>
          <w:ilvl w:val="0"/>
          <w:numId w:val="1"/>
        </w:numPr>
        <w:tabs>
          <w:tab w:pos="1053" w:val="left" w:leader="none"/>
        </w:tabs>
        <w:spacing w:line="328" w:lineRule="auto" w:before="144" w:after="0"/>
        <w:ind w:left="169" w:right="39" w:firstLine="640"/>
        <w:jc w:val="left"/>
        <w:rPr>
          <w:sz w:val="32"/>
        </w:rPr>
      </w:pPr>
      <w:r>
        <w:rPr>
          <w:spacing w:val="-1"/>
          <w:sz w:val="32"/>
        </w:rPr>
        <w:t>大模型企业在满足年度人工智能业务收入 </w:t>
      </w:r>
      <w:r>
        <w:rPr>
          <w:rFonts w:ascii="Times New Roman" w:eastAsia="Times New Roman"/>
          <w:sz w:val="32"/>
        </w:rPr>
        <w:t>2000 </w:t>
      </w:r>
      <w:r>
        <w:rPr>
          <w:sz w:val="32"/>
        </w:rPr>
        <w:t>万元以上</w:t>
      </w:r>
      <w:r>
        <w:rPr>
          <w:spacing w:val="-3"/>
          <w:sz w:val="32"/>
        </w:rPr>
        <w:t>或占总业务收入 </w:t>
      </w:r>
      <w:r>
        <w:rPr>
          <w:rFonts w:ascii="Times New Roman" w:eastAsia="Times New Roman"/>
          <w:sz w:val="32"/>
        </w:rPr>
        <w:t>30%</w:t>
      </w:r>
      <w:r>
        <w:rPr>
          <w:sz w:val="32"/>
        </w:rPr>
        <w:t>以上，且诚信经营无重大安全事故的条件</w:t>
      </w:r>
      <w:r>
        <w:rPr>
          <w:spacing w:val="-14"/>
          <w:sz w:val="32"/>
        </w:rPr>
        <w:t>下，年度主营业务收入比上一年度增量首次达到 </w:t>
      </w:r>
      <w:r>
        <w:rPr>
          <w:rFonts w:ascii="Times New Roman" w:eastAsia="Times New Roman"/>
          <w:sz w:val="32"/>
        </w:rPr>
        <w:t>2000 </w:t>
      </w:r>
      <w:r>
        <w:rPr>
          <w:spacing w:val="-46"/>
          <w:sz w:val="32"/>
        </w:rPr>
        <w:t>万元、</w:t>
      </w:r>
      <w:r>
        <w:rPr>
          <w:rFonts w:ascii="Times New Roman" w:eastAsia="Times New Roman"/>
          <w:sz w:val="32"/>
        </w:rPr>
        <w:t>5000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1</w:t>
      </w:r>
      <w:r>
        <w:rPr>
          <w:rFonts w:ascii="Times New Roman" w:eastAsia="Times New Roman"/>
          <w:spacing w:val="-20"/>
          <w:sz w:val="32"/>
        </w:rPr>
        <w:t> </w:t>
      </w:r>
      <w:r>
        <w:rPr>
          <w:sz w:val="32"/>
        </w:rPr>
        <w:t>亿元、</w:t>
      </w:r>
      <w:r>
        <w:rPr>
          <w:rFonts w:ascii="Times New Roman" w:eastAsia="Times New Roman"/>
          <w:sz w:val="32"/>
        </w:rPr>
        <w:t>5</w:t>
      </w:r>
      <w:r>
        <w:rPr>
          <w:rFonts w:ascii="Times New Roman" w:eastAsia="Times New Roman"/>
          <w:spacing w:val="-20"/>
          <w:sz w:val="32"/>
        </w:rPr>
        <w:t> </w:t>
      </w:r>
      <w:r>
        <w:rPr>
          <w:sz w:val="32"/>
        </w:rPr>
        <w:t>亿元、</w:t>
      </w:r>
      <w:r>
        <w:rPr>
          <w:rFonts w:ascii="Times New Roman" w:eastAsia="Times New Roman"/>
          <w:sz w:val="32"/>
        </w:rPr>
        <w:t>10</w:t>
      </w:r>
      <w:r>
        <w:rPr>
          <w:rFonts w:ascii="Times New Roman" w:eastAsia="Times New Roman"/>
          <w:spacing w:val="-16"/>
          <w:sz w:val="32"/>
        </w:rPr>
        <w:t> </w:t>
      </w:r>
      <w:r>
        <w:rPr>
          <w:spacing w:val="-7"/>
          <w:sz w:val="32"/>
        </w:rPr>
        <w:t>亿元以上的，分别给予最高 </w:t>
      </w:r>
      <w:r>
        <w:rPr>
          <w:rFonts w:ascii="Times New Roman" w:eastAsia="Times New Roman"/>
          <w:sz w:val="32"/>
        </w:rPr>
        <w:t>50</w:t>
      </w:r>
      <w:r>
        <w:rPr>
          <w:rFonts w:ascii="Times New Roman" w:eastAsia="Times New Roman"/>
          <w:spacing w:val="-16"/>
          <w:sz w:val="32"/>
        </w:rPr>
        <w:t> </w:t>
      </w:r>
      <w:r>
        <w:rPr>
          <w:sz w:val="32"/>
        </w:rPr>
        <w:t>万元、 </w:t>
      </w:r>
      <w:r>
        <w:rPr>
          <w:rFonts w:ascii="Times New Roman" w:eastAsia="Times New Roman"/>
          <w:sz w:val="32"/>
        </w:rPr>
        <w:t>100 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200 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300 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400 </w:t>
      </w:r>
      <w:r>
        <w:rPr>
          <w:sz w:val="32"/>
        </w:rPr>
        <w:t>万元奖励。主营业务收入逐</w:t>
      </w:r>
      <w:r>
        <w:rPr>
          <w:spacing w:val="-2"/>
          <w:sz w:val="32"/>
        </w:rPr>
        <w:t>级达到奖励标准的，奖励差额部分。</w:t>
      </w:r>
    </w:p>
    <w:p>
      <w:pPr>
        <w:pStyle w:val="ListParagraph"/>
        <w:numPr>
          <w:ilvl w:val="0"/>
          <w:numId w:val="1"/>
        </w:numPr>
        <w:tabs>
          <w:tab w:pos="1049" w:val="left" w:leader="none"/>
        </w:tabs>
        <w:spacing w:line="400" w:lineRule="exact" w:before="0" w:after="0"/>
        <w:ind w:left="1049" w:right="0" w:hanging="239"/>
        <w:jc w:val="left"/>
        <w:rPr>
          <w:sz w:val="32"/>
        </w:rPr>
      </w:pPr>
      <w:r>
        <w:rPr>
          <w:spacing w:val="-11"/>
          <w:sz w:val="32"/>
        </w:rPr>
        <w:t>每年设置总金额不超过 </w:t>
      </w:r>
      <w:r>
        <w:rPr>
          <w:rFonts w:ascii="Times New Roman" w:eastAsia="Times New Roman"/>
          <w:spacing w:val="-4"/>
          <w:sz w:val="32"/>
        </w:rPr>
        <w:t>3000</w:t>
      </w:r>
      <w:r>
        <w:rPr>
          <w:rFonts w:ascii="Times New Roman" w:eastAsia="Times New Roman"/>
          <w:spacing w:val="4"/>
          <w:sz w:val="32"/>
        </w:rPr>
        <w:t> </w:t>
      </w:r>
      <w:r>
        <w:rPr>
          <w:spacing w:val="-5"/>
          <w:sz w:val="32"/>
        </w:rPr>
        <w:t>万元的模型优化补贴资金池，</w:t>
      </w:r>
    </w:p>
    <w:p>
      <w:pPr>
        <w:pStyle w:val="BodyText"/>
        <w:spacing w:line="328" w:lineRule="auto" w:before="149"/>
        <w:ind w:right="57"/>
      </w:pPr>
      <w:r>
        <w:rPr>
          <w:spacing w:val="-1"/>
        </w:rPr>
        <w:t>对完成本细则第三条相关备案或年度主营业务收入达到 </w:t>
      </w:r>
      <w:r>
        <w:rPr>
          <w:rFonts w:ascii="Times New Roman" w:eastAsia="Times New Roman"/>
        </w:rPr>
        <w:t>2000 </w:t>
      </w:r>
      <w:r>
        <w:rPr/>
        <w:t>万</w:t>
      </w:r>
      <w:r>
        <w:rPr>
          <w:spacing w:val="-13"/>
        </w:rPr>
        <w:t>元以上的大模型企业，对其开展模型推理或模型训练优化所产生</w:t>
      </w:r>
      <w:r>
        <w:rPr>
          <w:spacing w:val="-5"/>
        </w:rPr>
        <w:t>的费用支出给予支持，最高可按实际支出费用的 </w:t>
      </w:r>
      <w:r>
        <w:rPr>
          <w:rFonts w:ascii="Times New Roman" w:eastAsia="Times New Roman"/>
          <w:spacing w:val="-2"/>
        </w:rPr>
        <w:t>50%</w:t>
      </w:r>
      <w:r>
        <w:rPr>
          <w:spacing w:val="-2"/>
        </w:rPr>
        <w:t>给予补助，</w:t>
      </w:r>
      <w:r>
        <w:rPr>
          <w:spacing w:val="-4"/>
        </w:rPr>
        <w:t>单个企业每年最高 </w:t>
      </w:r>
      <w:r>
        <w:rPr>
          <w:rFonts w:ascii="Times New Roman" w:eastAsia="Times New Roman"/>
        </w:rPr>
        <w:t>150 </w:t>
      </w:r>
      <w:r>
        <w:rPr>
          <w:spacing w:val="-12"/>
        </w:rPr>
        <w:t>万元，每年兑现金额控制在当年资金池额</w:t>
      </w:r>
      <w:r>
        <w:rPr>
          <w:spacing w:val="-4"/>
        </w:rPr>
        <w:t>度内。</w:t>
      </w:r>
    </w:p>
    <w:p>
      <w:pPr>
        <w:pStyle w:val="BodyText"/>
        <w:spacing w:line="402" w:lineRule="exact"/>
        <w:ind w:left="810"/>
      </w:pPr>
      <w:r>
        <w:rPr>
          <w:spacing w:val="-4"/>
        </w:rPr>
        <w:t>（二）</w:t>
      </w:r>
      <w:r>
        <w:rPr>
          <w:spacing w:val="-5"/>
        </w:rPr>
        <w:t>集成电路设计企业</w:t>
      </w:r>
    </w:p>
    <w:p>
      <w:pPr>
        <w:pStyle w:val="BodyText"/>
        <w:spacing w:after="0" w:line="402" w:lineRule="exact"/>
        <w:sectPr>
          <w:pgSz w:w="11910" w:h="16840"/>
          <w:pgMar w:header="0" w:footer="1190" w:top="1920" w:bottom="1380" w:left="1417" w:right="1275"/>
        </w:sectPr>
      </w:pPr>
    </w:p>
    <w:p>
      <w:pPr>
        <w:pStyle w:val="ListParagraph"/>
        <w:numPr>
          <w:ilvl w:val="0"/>
          <w:numId w:val="2"/>
        </w:numPr>
        <w:tabs>
          <w:tab w:pos="1048" w:val="left" w:leader="none"/>
        </w:tabs>
        <w:spacing w:line="328" w:lineRule="auto" w:before="289" w:after="0"/>
        <w:ind w:left="169" w:right="83" w:firstLine="640"/>
        <w:jc w:val="left"/>
        <w:rPr>
          <w:sz w:val="32"/>
        </w:rPr>
      </w:pPr>
      <w:r>
        <w:rPr>
          <w:spacing w:val="-2"/>
          <w:sz w:val="32"/>
        </w:rPr>
        <w:t>针对海珠区重点引进的集成电路设计企业，企业新增当年及后两年租赁自用办公用房，年度主营业务收入分别达到 </w:t>
      </w:r>
      <w:r>
        <w:rPr>
          <w:rFonts w:ascii="Times New Roman" w:eastAsia="Times New Roman"/>
          <w:sz w:val="32"/>
        </w:rPr>
        <w:t>2000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5000</w:t>
      </w:r>
      <w:r>
        <w:rPr>
          <w:rFonts w:ascii="Times New Roman" w:eastAsia="Times New Roman"/>
          <w:spacing w:val="-18"/>
          <w:sz w:val="32"/>
        </w:rPr>
        <w:t> 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1</w:t>
      </w:r>
      <w:r>
        <w:rPr>
          <w:rFonts w:ascii="Times New Roman" w:eastAsia="Times New Roman"/>
          <w:spacing w:val="-18"/>
          <w:sz w:val="32"/>
        </w:rPr>
        <w:t> </w:t>
      </w:r>
      <w:r>
        <w:rPr>
          <w:sz w:val="32"/>
        </w:rPr>
        <w:t>亿元以上，且诚信经营无重大安全事故的，</w:t>
      </w:r>
      <w:r>
        <w:rPr>
          <w:spacing w:val="-3"/>
          <w:sz w:val="32"/>
        </w:rPr>
        <w:t>最高按照当年度实际场地租金的 </w:t>
      </w:r>
      <w:r>
        <w:rPr>
          <w:rFonts w:ascii="Times New Roman" w:eastAsia="Times New Roman"/>
          <w:sz w:val="32"/>
        </w:rPr>
        <w:t>90%</w:t>
      </w:r>
      <w:r>
        <w:rPr>
          <w:spacing w:val="-15"/>
          <w:sz w:val="32"/>
        </w:rPr>
        <w:t>给予补助，单个企业每年最</w:t>
      </w:r>
      <w:r>
        <w:rPr>
          <w:spacing w:val="-19"/>
          <w:sz w:val="32"/>
        </w:rPr>
        <w:t>高 </w:t>
      </w:r>
      <w:r>
        <w:rPr>
          <w:rFonts w:ascii="Times New Roman" w:eastAsia="Times New Roman"/>
          <w:sz w:val="32"/>
        </w:rPr>
        <w:t>300 </w:t>
      </w:r>
      <w:r>
        <w:rPr>
          <w:spacing w:val="-12"/>
          <w:sz w:val="32"/>
        </w:rPr>
        <w:t>万元。企业若在新增年度未达到补助条件但在首个完整会</w:t>
      </w:r>
      <w:r>
        <w:rPr>
          <w:spacing w:val="-2"/>
          <w:sz w:val="32"/>
        </w:rPr>
        <w:t>计年度达到补助条件的，可从首个完整会计年度起算给予补助，所补助年度应在本细则有效期内。</w:t>
      </w:r>
    </w:p>
    <w:p>
      <w:pPr>
        <w:pStyle w:val="ListParagraph"/>
        <w:numPr>
          <w:ilvl w:val="0"/>
          <w:numId w:val="2"/>
        </w:numPr>
        <w:tabs>
          <w:tab w:pos="1049" w:val="left" w:leader="none"/>
        </w:tabs>
        <w:spacing w:line="397" w:lineRule="exact" w:before="0" w:after="0"/>
        <w:ind w:left="1049" w:right="0" w:hanging="239"/>
        <w:jc w:val="left"/>
        <w:rPr>
          <w:sz w:val="32"/>
        </w:rPr>
      </w:pPr>
      <w:r>
        <w:rPr>
          <w:spacing w:val="-7"/>
          <w:sz w:val="32"/>
        </w:rPr>
        <w:t>针对海珠区重点引进的集成电路设计企业，企业新增当年</w:t>
      </w:r>
    </w:p>
    <w:p>
      <w:pPr>
        <w:pStyle w:val="BodyText"/>
        <w:spacing w:before="149"/>
      </w:pPr>
      <w:r>
        <w:rPr>
          <w:spacing w:val="-17"/>
        </w:rPr>
        <w:t>及后两年，租赁自用办公用房且年度主营业务收入超过 </w:t>
      </w:r>
      <w:r>
        <w:rPr>
          <w:rFonts w:ascii="Times New Roman" w:eastAsia="Times New Roman"/>
          <w:spacing w:val="-2"/>
        </w:rPr>
        <w:t>500</w:t>
      </w:r>
      <w:r>
        <w:rPr>
          <w:rFonts w:ascii="Times New Roman" w:eastAsia="Times New Roman"/>
          <w:spacing w:val="-16"/>
        </w:rPr>
        <w:t> </w:t>
      </w:r>
      <w:r>
        <w:rPr>
          <w:spacing w:val="-6"/>
        </w:rPr>
        <w:t>万元</w:t>
      </w:r>
    </w:p>
    <w:p>
      <w:pPr>
        <w:pStyle w:val="BodyText"/>
        <w:spacing w:before="152"/>
      </w:pPr>
      <w:r>
        <w:rPr>
          <w:spacing w:val="-14"/>
        </w:rPr>
        <w:t>但未达本项第 </w:t>
      </w:r>
      <w:r>
        <w:rPr>
          <w:rFonts w:ascii="Times New Roman" w:eastAsia="Times New Roman"/>
          <w:spacing w:val="-2"/>
        </w:rPr>
        <w:t>1</w:t>
      </w:r>
      <w:r>
        <w:rPr>
          <w:rFonts w:ascii="Times New Roman" w:eastAsia="Times New Roman"/>
          <w:spacing w:val="-17"/>
        </w:rPr>
        <w:t> </w:t>
      </w:r>
      <w:r>
        <w:rPr>
          <w:spacing w:val="-13"/>
        </w:rPr>
        <w:t>点补助条件的，最高按照当年度实际场地租金的</w:t>
      </w:r>
    </w:p>
    <w:p>
      <w:pPr>
        <w:pStyle w:val="BodyText"/>
        <w:spacing w:before="149"/>
      </w:pPr>
      <w:r>
        <w:rPr>
          <w:rFonts w:ascii="Times New Roman" w:eastAsia="Times New Roman"/>
          <w:spacing w:val="-2"/>
        </w:rPr>
        <w:t>50%</w:t>
      </w:r>
      <w:r>
        <w:rPr>
          <w:spacing w:val="-8"/>
        </w:rPr>
        <w:t>给予补助，单个企业每年最高 </w:t>
      </w:r>
      <w:r>
        <w:rPr>
          <w:rFonts w:ascii="Times New Roman" w:eastAsia="Times New Roman"/>
          <w:spacing w:val="-2"/>
        </w:rPr>
        <w:t>100</w:t>
      </w:r>
      <w:r>
        <w:rPr>
          <w:rFonts w:ascii="Times New Roman" w:eastAsia="Times New Roman"/>
          <w:spacing w:val="-7"/>
        </w:rPr>
        <w:t> </w:t>
      </w:r>
      <w:r>
        <w:rPr>
          <w:spacing w:val="-5"/>
        </w:rPr>
        <w:t>万元。</w:t>
      </w:r>
    </w:p>
    <w:p>
      <w:pPr>
        <w:pStyle w:val="ListParagraph"/>
        <w:numPr>
          <w:ilvl w:val="0"/>
          <w:numId w:val="2"/>
        </w:numPr>
        <w:tabs>
          <w:tab w:pos="1048" w:val="left" w:leader="none"/>
        </w:tabs>
        <w:spacing w:line="328" w:lineRule="auto" w:before="149" w:after="0"/>
        <w:ind w:left="169" w:right="196" w:firstLine="640"/>
        <w:jc w:val="both"/>
        <w:rPr>
          <w:sz w:val="32"/>
        </w:rPr>
      </w:pPr>
      <w:r>
        <w:rPr>
          <w:spacing w:val="-2"/>
          <w:sz w:val="32"/>
        </w:rPr>
        <w:t>集成电路设计企业诚信经营无重大安全事故，且年度主营</w:t>
      </w:r>
      <w:r>
        <w:rPr>
          <w:spacing w:val="-5"/>
          <w:sz w:val="32"/>
        </w:rPr>
        <w:t>业务收入首次达到 </w:t>
      </w:r>
      <w:r>
        <w:rPr>
          <w:rFonts w:ascii="Times New Roman" w:eastAsia="Times New Roman"/>
          <w:sz w:val="32"/>
        </w:rPr>
        <w:t>2000</w:t>
      </w:r>
      <w:r>
        <w:rPr>
          <w:rFonts w:ascii="Times New Roman" w:eastAsia="Times New Roman"/>
          <w:spacing w:val="-3"/>
          <w:sz w:val="32"/>
        </w:rPr>
        <w:t> 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1 </w:t>
      </w:r>
      <w:r>
        <w:rPr>
          <w:sz w:val="32"/>
        </w:rPr>
        <w:t>亿元、</w:t>
      </w:r>
      <w:r>
        <w:rPr>
          <w:rFonts w:ascii="Times New Roman" w:eastAsia="Times New Roman"/>
          <w:sz w:val="32"/>
        </w:rPr>
        <w:t>5 </w:t>
      </w:r>
      <w:r>
        <w:rPr>
          <w:sz w:val="32"/>
        </w:rPr>
        <w:t>亿元、</w:t>
      </w:r>
      <w:r>
        <w:rPr>
          <w:rFonts w:ascii="Times New Roman" w:eastAsia="Times New Roman"/>
          <w:sz w:val="32"/>
        </w:rPr>
        <w:t>10 </w:t>
      </w:r>
      <w:r>
        <w:rPr>
          <w:sz w:val="32"/>
        </w:rPr>
        <w:t>亿元的，分</w:t>
      </w:r>
      <w:r>
        <w:rPr>
          <w:spacing w:val="-7"/>
          <w:sz w:val="32"/>
        </w:rPr>
        <w:t>别给予最高 </w:t>
      </w:r>
      <w:r>
        <w:rPr>
          <w:rFonts w:ascii="Times New Roman" w:eastAsia="Times New Roman"/>
          <w:sz w:val="32"/>
        </w:rPr>
        <w:t>50</w:t>
      </w:r>
      <w:r>
        <w:rPr>
          <w:rFonts w:ascii="Times New Roman" w:eastAsia="Times New Roman"/>
          <w:spacing w:val="-20"/>
          <w:sz w:val="32"/>
        </w:rPr>
        <w:t> 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200</w:t>
      </w:r>
      <w:r>
        <w:rPr>
          <w:rFonts w:ascii="Times New Roman" w:eastAsia="Times New Roman"/>
          <w:spacing w:val="-20"/>
          <w:sz w:val="32"/>
        </w:rPr>
        <w:t> </w:t>
      </w:r>
      <w:r>
        <w:rPr>
          <w:sz w:val="32"/>
        </w:rPr>
        <w:t>万元、</w:t>
      </w:r>
      <w:r>
        <w:rPr>
          <w:rFonts w:ascii="Times New Roman" w:eastAsia="Times New Roman"/>
          <w:sz w:val="32"/>
        </w:rPr>
        <w:t>500</w:t>
      </w:r>
      <w:r>
        <w:rPr>
          <w:rFonts w:ascii="Times New Roman" w:eastAsia="Times New Roman"/>
          <w:spacing w:val="-20"/>
          <w:sz w:val="32"/>
        </w:rPr>
        <w:t> </w:t>
      </w:r>
      <w:r>
        <w:rPr>
          <w:spacing w:val="-10"/>
          <w:sz w:val="32"/>
        </w:rPr>
        <w:t>万元和 </w:t>
      </w:r>
      <w:r>
        <w:rPr>
          <w:rFonts w:ascii="Times New Roman" w:eastAsia="Times New Roman"/>
          <w:sz w:val="32"/>
        </w:rPr>
        <w:t>1000</w:t>
      </w:r>
      <w:r>
        <w:rPr>
          <w:rFonts w:ascii="Times New Roman" w:eastAsia="Times New Roman"/>
          <w:spacing w:val="-8"/>
          <w:sz w:val="32"/>
        </w:rPr>
        <w:t> </w:t>
      </w:r>
      <w:r>
        <w:rPr>
          <w:sz w:val="32"/>
        </w:rPr>
        <w:t>万元的一次性</w:t>
      </w:r>
      <w:r>
        <w:rPr>
          <w:spacing w:val="-13"/>
          <w:sz w:val="32"/>
        </w:rPr>
        <w:t>奖励。同一企业当年度同时符合多项条件的，按奖补金额最高的项目给予一次性支持。对在前一年已享受过本点规模化发展奖励支持的企业，之后年度达到其他奖励维度的，按照就高补差原则</w:t>
      </w:r>
      <w:r>
        <w:rPr>
          <w:spacing w:val="-4"/>
          <w:sz w:val="32"/>
        </w:rPr>
        <w:t>执行。</w:t>
      </w:r>
    </w:p>
    <w:p>
      <w:pPr>
        <w:pStyle w:val="ListParagraph"/>
        <w:numPr>
          <w:ilvl w:val="0"/>
          <w:numId w:val="2"/>
        </w:numPr>
        <w:tabs>
          <w:tab w:pos="1058" w:val="left" w:leader="none"/>
        </w:tabs>
        <w:spacing w:line="328" w:lineRule="auto" w:before="0" w:after="0"/>
        <w:ind w:left="169" w:right="191" w:firstLine="640"/>
        <w:jc w:val="both"/>
        <w:rPr>
          <w:sz w:val="32"/>
        </w:rPr>
      </w:pPr>
      <w:r>
        <w:rPr>
          <w:spacing w:val="9"/>
          <w:sz w:val="32"/>
        </w:rPr>
        <w:t>集成电路设计企业产品或产线通过国际汽车电子协会车</w:t>
      </w:r>
      <w:r>
        <w:rPr>
          <w:sz w:val="32"/>
        </w:rPr>
        <w:t>规级产品测试标准系列（</w:t>
      </w:r>
      <w:r>
        <w:rPr>
          <w:rFonts w:ascii="Times New Roman" w:eastAsia="Times New Roman"/>
          <w:sz w:val="32"/>
        </w:rPr>
        <w:t>AEC-Q </w:t>
      </w:r>
      <w:r>
        <w:rPr>
          <w:sz w:val="32"/>
        </w:rPr>
        <w:t>系列）、车规级功率模块可靠性检测认证标准（</w:t>
      </w:r>
      <w:r>
        <w:rPr>
          <w:rFonts w:ascii="Times New Roman" w:eastAsia="Times New Roman"/>
          <w:sz w:val="32"/>
        </w:rPr>
        <w:t>AQG</w:t>
      </w:r>
      <w:r>
        <w:rPr>
          <w:rFonts w:ascii="Times New Roman" w:eastAsia="Times New Roman"/>
          <w:spacing w:val="-20"/>
          <w:sz w:val="32"/>
        </w:rPr>
        <w:t> </w:t>
      </w:r>
      <w:r>
        <w:rPr>
          <w:sz w:val="32"/>
        </w:rPr>
        <w:t>系列）或汽车质量管理体系标准（</w:t>
      </w:r>
      <w:r>
        <w:rPr>
          <w:rFonts w:ascii="Times New Roman" w:eastAsia="Times New Roman"/>
          <w:sz w:val="32"/>
        </w:rPr>
        <w:t>IATF </w:t>
      </w:r>
      <w:r>
        <w:rPr>
          <w:rFonts w:ascii="Times New Roman" w:eastAsia="Times New Roman"/>
          <w:spacing w:val="-2"/>
          <w:sz w:val="32"/>
        </w:rPr>
        <w:t>16949</w:t>
      </w:r>
      <w:r>
        <w:rPr>
          <w:spacing w:val="-2"/>
          <w:sz w:val="32"/>
        </w:rPr>
        <w:t>）、道路车辆功能安全标准（</w:t>
      </w:r>
      <w:r>
        <w:rPr>
          <w:rFonts w:ascii="Times New Roman" w:eastAsia="Times New Roman"/>
          <w:spacing w:val="-2"/>
          <w:sz w:val="32"/>
        </w:rPr>
        <w:t>ISO</w:t>
      </w:r>
      <w:r>
        <w:rPr>
          <w:rFonts w:ascii="Times New Roman" w:eastAsia="Times New Roman"/>
          <w:spacing w:val="-18"/>
          <w:sz w:val="32"/>
        </w:rPr>
        <w:t> </w:t>
      </w:r>
      <w:r>
        <w:rPr>
          <w:rFonts w:ascii="Times New Roman" w:eastAsia="Times New Roman"/>
          <w:spacing w:val="-2"/>
          <w:sz w:val="32"/>
        </w:rPr>
        <w:t>26262</w:t>
      </w:r>
      <w:r>
        <w:rPr>
          <w:spacing w:val="-2"/>
          <w:sz w:val="32"/>
        </w:rPr>
        <w:t>）等，按照不高于</w:t>
      </w:r>
    </w:p>
    <w:p>
      <w:pPr>
        <w:pStyle w:val="ListParagraph"/>
        <w:spacing w:after="0" w:line="328" w:lineRule="auto"/>
        <w:jc w:val="both"/>
        <w:rPr>
          <w:sz w:val="32"/>
        </w:rPr>
        <w:sectPr>
          <w:pgSz w:w="11910" w:h="16840"/>
          <w:pgMar w:header="0" w:footer="1190" w:top="1920" w:bottom="1380" w:left="1417" w:right="1275"/>
        </w:sectPr>
      </w:pPr>
    </w:p>
    <w:p>
      <w:pPr>
        <w:pStyle w:val="BodyText"/>
        <w:spacing w:line="326" w:lineRule="auto" w:before="289"/>
        <w:ind w:right="198"/>
      </w:pPr>
      <w:r>
        <w:rPr>
          <w:spacing w:val="-8"/>
        </w:rPr>
        <w:t>实际认证费用发生额的 </w:t>
      </w:r>
      <w:r>
        <w:rPr>
          <w:rFonts w:ascii="Times New Roman" w:eastAsia="Times New Roman"/>
          <w:spacing w:val="-2"/>
        </w:rPr>
        <w:t>50%</w:t>
      </w:r>
      <w:r>
        <w:rPr>
          <w:spacing w:val="-15"/>
        </w:rPr>
        <w:t>进行补助，每家企业年度补助金额最</w:t>
      </w:r>
      <w:r>
        <w:rPr>
          <w:spacing w:val="-4"/>
        </w:rPr>
        <w:t>高不超过 </w:t>
      </w:r>
      <w:r>
        <w:rPr>
          <w:rFonts w:ascii="Times New Roman" w:eastAsia="Times New Roman"/>
        </w:rPr>
        <w:t>300 </w:t>
      </w:r>
      <w:r>
        <w:rPr/>
        <w:t>万元。</w:t>
      </w:r>
    </w:p>
    <w:p>
      <w:pPr>
        <w:pStyle w:val="Heading2"/>
        <w:spacing w:line="486" w:lineRule="exact"/>
      </w:pPr>
      <w:r>
        <w:rPr>
          <w:spacing w:val="2"/>
        </w:rPr>
        <w:t>第五条 【示范发展奖励】</w:t>
      </w:r>
    </w:p>
    <w:p>
      <w:pPr>
        <w:pStyle w:val="BodyText"/>
        <w:spacing w:line="328" w:lineRule="auto" w:before="79"/>
        <w:ind w:right="39" w:firstLine="640"/>
      </w:pPr>
      <w:r>
        <w:rPr>
          <w:spacing w:val="-17"/>
        </w:rPr>
        <w:t>鼓励大模型企业围绕新型工业化、游戏、时尚、营销、交通、</w:t>
      </w:r>
      <w:r>
        <w:rPr>
          <w:spacing w:val="-14"/>
        </w:rPr>
        <w:t>医疗、金融等领域运用人工智能大模型技术打造应用场景示范项</w:t>
      </w:r>
      <w:r>
        <w:rPr>
          <w:spacing w:val="-2"/>
        </w:rPr>
        <w:t>目，推动大模型技术与低空经济加速融合、创新发展。经综合评</w:t>
      </w:r>
      <w:r>
        <w:rPr>
          <w:spacing w:val="-15"/>
        </w:rPr>
        <w:t>价，对符合条件的项目，按照不超过项目实际投入的 </w:t>
      </w:r>
      <w:r>
        <w:rPr>
          <w:rFonts w:ascii="Times New Roman" w:eastAsia="Times New Roman"/>
        </w:rPr>
        <w:t>30%</w:t>
      </w:r>
      <w:r>
        <w:rPr/>
        <w:t>给予奖</w:t>
      </w:r>
      <w:r>
        <w:rPr>
          <w:spacing w:val="-4"/>
        </w:rPr>
        <w:t>励，最高 </w:t>
      </w:r>
      <w:r>
        <w:rPr>
          <w:rFonts w:ascii="Times New Roman" w:eastAsia="Times New Roman"/>
        </w:rPr>
        <w:t>500 </w:t>
      </w:r>
      <w:r>
        <w:rPr/>
        <w:t>万元。</w:t>
      </w:r>
    </w:p>
    <w:p>
      <w:pPr>
        <w:pStyle w:val="Heading2"/>
      </w:pPr>
      <w:r>
        <w:rPr>
          <w:spacing w:val="1"/>
        </w:rPr>
        <w:t>第六条 【产业载体支持奖励】</w:t>
      </w:r>
    </w:p>
    <w:p>
      <w:pPr>
        <w:pStyle w:val="BodyText"/>
        <w:spacing w:line="326" w:lineRule="auto" w:before="79"/>
        <w:ind w:right="196" w:firstLine="640"/>
      </w:pPr>
      <w:r>
        <w:rPr>
          <w:spacing w:val="-10"/>
        </w:rPr>
        <w:t>为引导企业集群化发展，评选认定一批大模型示范空间，每</w:t>
      </w:r>
      <w:r>
        <w:rPr>
          <w:spacing w:val="-2"/>
        </w:rPr>
        <w:t>年组织复审。</w:t>
      </w:r>
    </w:p>
    <w:p>
      <w:pPr>
        <w:pStyle w:val="BodyText"/>
        <w:spacing w:before="3"/>
        <w:ind w:left="810"/>
      </w:pPr>
      <w:r>
        <w:rPr>
          <w:spacing w:val="-4"/>
        </w:rPr>
        <w:t>（一）</w:t>
      </w:r>
      <w:r>
        <w:rPr>
          <w:spacing w:val="-5"/>
        </w:rPr>
        <w:t>申请认定为大模型示范空间，应同时符合下列条件：</w:t>
      </w:r>
    </w:p>
    <w:p>
      <w:pPr>
        <w:pStyle w:val="ListParagraph"/>
        <w:numPr>
          <w:ilvl w:val="0"/>
          <w:numId w:val="3"/>
        </w:numPr>
        <w:tabs>
          <w:tab w:pos="1049" w:val="left" w:leader="none"/>
        </w:tabs>
        <w:spacing w:line="240" w:lineRule="auto" w:before="151" w:after="0"/>
        <w:ind w:left="1049" w:right="0" w:hanging="239"/>
        <w:jc w:val="left"/>
        <w:rPr>
          <w:sz w:val="32"/>
        </w:rPr>
      </w:pPr>
      <w:r>
        <w:rPr>
          <w:spacing w:val="-5"/>
          <w:sz w:val="32"/>
        </w:rPr>
        <w:t>土地权属边界清晰，不存在权属纠纷，建筑总面积不低于</w:t>
      </w:r>
    </w:p>
    <w:p>
      <w:pPr>
        <w:pStyle w:val="BodyText"/>
        <w:spacing w:before="150"/>
      </w:pPr>
      <w:r>
        <w:rPr>
          <w:rFonts w:ascii="Times New Roman" w:eastAsia="Times New Roman"/>
        </w:rPr>
        <w:t>1</w:t>
      </w:r>
      <w:r>
        <w:rPr>
          <w:rFonts w:ascii="Times New Roman" w:eastAsia="Times New Roman"/>
          <w:spacing w:val="-13"/>
        </w:rPr>
        <w:t> </w:t>
      </w:r>
      <w:r>
        <w:rPr>
          <w:spacing w:val="-2"/>
        </w:rPr>
        <w:t>万平方米。</w:t>
      </w:r>
    </w:p>
    <w:p>
      <w:pPr>
        <w:pStyle w:val="ListParagraph"/>
        <w:numPr>
          <w:ilvl w:val="0"/>
          <w:numId w:val="3"/>
        </w:numPr>
        <w:tabs>
          <w:tab w:pos="1049" w:val="left" w:leader="none"/>
        </w:tabs>
        <w:spacing w:line="240" w:lineRule="auto" w:before="149" w:after="0"/>
        <w:ind w:left="1049" w:right="0" w:hanging="239"/>
        <w:jc w:val="left"/>
        <w:rPr>
          <w:sz w:val="32"/>
        </w:rPr>
      </w:pPr>
      <w:r>
        <w:rPr>
          <w:spacing w:val="-7"/>
          <w:sz w:val="32"/>
        </w:rPr>
        <w:t>土地权属或租赁剩余有效期不少于 </w:t>
      </w:r>
      <w:r>
        <w:rPr>
          <w:rFonts w:ascii="Times New Roman" w:eastAsia="Times New Roman"/>
          <w:spacing w:val="-2"/>
          <w:sz w:val="32"/>
        </w:rPr>
        <w:t>5</w:t>
      </w:r>
      <w:r>
        <w:rPr>
          <w:rFonts w:ascii="Times New Roman" w:eastAsia="Times New Roman"/>
          <w:spacing w:val="-9"/>
          <w:sz w:val="32"/>
        </w:rPr>
        <w:t> </w:t>
      </w:r>
      <w:r>
        <w:rPr>
          <w:spacing w:val="-6"/>
          <w:sz w:val="32"/>
        </w:rPr>
        <w:t>年。</w:t>
      </w:r>
    </w:p>
    <w:p>
      <w:pPr>
        <w:pStyle w:val="ListParagraph"/>
        <w:numPr>
          <w:ilvl w:val="0"/>
          <w:numId w:val="3"/>
        </w:numPr>
        <w:tabs>
          <w:tab w:pos="1048" w:val="left" w:leader="none"/>
        </w:tabs>
        <w:spacing w:line="326" w:lineRule="auto" w:before="151" w:after="0"/>
        <w:ind w:left="169" w:right="83" w:firstLine="640"/>
        <w:jc w:val="left"/>
        <w:rPr>
          <w:sz w:val="32"/>
        </w:rPr>
      </w:pPr>
      <w:r>
        <w:rPr>
          <w:spacing w:val="-2"/>
          <w:sz w:val="32"/>
        </w:rPr>
        <w:t>在地理区位、公共交通、发展空间等方面应具有较好的条件和潜力，能够提供良好的创新创业服务，较好促进企业集聚。</w:t>
      </w:r>
    </w:p>
    <w:p>
      <w:pPr>
        <w:pStyle w:val="ListParagraph"/>
        <w:numPr>
          <w:ilvl w:val="0"/>
          <w:numId w:val="3"/>
        </w:numPr>
        <w:tabs>
          <w:tab w:pos="1058" w:val="left" w:leader="none"/>
        </w:tabs>
        <w:spacing w:line="328" w:lineRule="auto" w:before="4" w:after="0"/>
        <w:ind w:left="169" w:right="196" w:firstLine="640"/>
        <w:jc w:val="both"/>
        <w:rPr>
          <w:sz w:val="32"/>
        </w:rPr>
      </w:pPr>
      <w:r>
        <w:rPr>
          <w:spacing w:val="7"/>
          <w:sz w:val="32"/>
        </w:rPr>
        <w:t>示范空间内人工智能大模型产业发展特色明显，定位明</w:t>
      </w:r>
      <w:r>
        <w:rPr>
          <w:spacing w:val="-13"/>
          <w:sz w:val="32"/>
        </w:rPr>
        <w:t>确，具有相对集中的人工智能产业发展空间布局。已入驻不少于</w:t>
      </w:r>
      <w:r>
        <w:rPr>
          <w:spacing w:val="-2"/>
          <w:sz w:val="32"/>
        </w:rPr>
        <w:t> </w:t>
      </w:r>
      <w:r>
        <w:rPr>
          <w:rFonts w:ascii="Times New Roman" w:eastAsia="Times New Roman"/>
          <w:sz w:val="32"/>
        </w:rPr>
        <w:t>10</w:t>
      </w:r>
      <w:r>
        <w:rPr>
          <w:rFonts w:ascii="Times New Roman" w:eastAsia="Times New Roman"/>
          <w:spacing w:val="26"/>
          <w:sz w:val="32"/>
        </w:rPr>
        <w:t> </w:t>
      </w:r>
      <w:r>
        <w:rPr>
          <w:spacing w:val="-3"/>
          <w:sz w:val="32"/>
        </w:rPr>
        <w:t>家企业且大模型企业数量占比不低于 </w:t>
      </w:r>
      <w:r>
        <w:rPr>
          <w:rFonts w:ascii="Times New Roman" w:eastAsia="Times New Roman"/>
          <w:sz w:val="32"/>
        </w:rPr>
        <w:t>70%</w:t>
      </w:r>
      <w:r>
        <w:rPr>
          <w:sz w:val="32"/>
        </w:rPr>
        <w:t>，或入驻的大模型</w:t>
      </w:r>
      <w:r>
        <w:rPr>
          <w:spacing w:val="-9"/>
          <w:sz w:val="32"/>
        </w:rPr>
        <w:t>企业租用面积占总面积不低于 </w:t>
      </w:r>
      <w:r>
        <w:rPr>
          <w:rFonts w:ascii="Times New Roman" w:eastAsia="Times New Roman"/>
          <w:spacing w:val="27"/>
          <w:sz w:val="32"/>
        </w:rPr>
        <w:t>70</w:t>
      </w:r>
      <w:r>
        <w:rPr>
          <w:rFonts w:ascii="Times New Roman" w:eastAsia="Times New Roman"/>
          <w:spacing w:val="24"/>
          <w:sz w:val="32"/>
        </w:rPr>
        <w:t>%</w:t>
      </w:r>
      <w:r>
        <w:rPr>
          <w:spacing w:val="-19"/>
          <w:sz w:val="32"/>
        </w:rPr>
        <w:t>，初步形成上下游产业协作配</w:t>
      </w:r>
      <w:r>
        <w:rPr>
          <w:spacing w:val="-2"/>
          <w:sz w:val="32"/>
        </w:rPr>
        <w:t>套的人工智能产业体系。</w:t>
      </w:r>
    </w:p>
    <w:p>
      <w:pPr>
        <w:pStyle w:val="ListParagraph"/>
        <w:spacing w:after="0" w:line="328" w:lineRule="auto"/>
        <w:jc w:val="both"/>
        <w:rPr>
          <w:sz w:val="32"/>
        </w:rPr>
        <w:sectPr>
          <w:pgSz w:w="11910" w:h="16840"/>
          <w:pgMar w:header="0" w:footer="1190" w:top="1920" w:bottom="1380" w:left="1417" w:right="1275"/>
        </w:sectPr>
      </w:pPr>
    </w:p>
    <w:p>
      <w:pPr>
        <w:pStyle w:val="BodyText"/>
        <w:spacing w:line="326" w:lineRule="auto" w:before="289"/>
        <w:ind w:right="196" w:firstLine="640"/>
        <w:jc w:val="both"/>
      </w:pPr>
      <w:r>
        <w:rPr>
          <w:spacing w:val="-2"/>
        </w:rPr>
        <w:t>（二）新认定大模型示范空间当年，给予运营主体不超过 </w:t>
      </w:r>
      <w:r>
        <w:rPr>
          <w:rFonts w:ascii="Times New Roman" w:eastAsia="Times New Roman"/>
          <w:spacing w:val="-2"/>
        </w:rPr>
        <w:t>50</w:t>
      </w:r>
      <w:r>
        <w:rPr>
          <w:rFonts w:ascii="Times New Roman" w:eastAsia="Times New Roman"/>
          <w:spacing w:val="-18"/>
        </w:rPr>
        <w:t> </w:t>
      </w:r>
      <w:r>
        <w:rPr>
          <w:spacing w:val="-4"/>
        </w:rPr>
        <w:t>万元补助；年度复审通过的，给予运营主体不超过 </w:t>
      </w:r>
      <w:r>
        <w:rPr>
          <w:rFonts w:ascii="Times New Roman" w:eastAsia="Times New Roman"/>
          <w:spacing w:val="-2"/>
        </w:rPr>
        <w:t>50</w:t>
      </w:r>
      <w:r>
        <w:rPr>
          <w:rFonts w:ascii="Times New Roman" w:eastAsia="Times New Roman"/>
          <w:spacing w:val="-18"/>
        </w:rPr>
        <w:t> </w:t>
      </w:r>
      <w:r>
        <w:rPr>
          <w:spacing w:val="-2"/>
        </w:rPr>
        <w:t>万元补</w:t>
      </w:r>
      <w:r>
        <w:rPr>
          <w:spacing w:val="-6"/>
        </w:rPr>
        <w:t>助。</w:t>
      </w:r>
    </w:p>
    <w:p>
      <w:pPr>
        <w:pStyle w:val="Heading2"/>
        <w:spacing w:line="490" w:lineRule="exact"/>
      </w:pPr>
      <w:r>
        <w:rPr>
          <w:spacing w:val="-1"/>
        </w:rPr>
        <w:t>第七条 【集成电路设计研发创新补贴】</w:t>
      </w:r>
    </w:p>
    <w:p>
      <w:pPr>
        <w:pStyle w:val="BodyText"/>
        <w:spacing w:line="326" w:lineRule="auto" w:before="76"/>
        <w:ind w:right="196" w:firstLine="640"/>
        <w:rPr>
          <w:rFonts w:ascii="Times New Roman" w:eastAsia="Times New Roman"/>
        </w:rPr>
      </w:pPr>
      <w:r>
        <w:rPr/>
        <w:t>（一）</w:t>
      </w:r>
      <w:r>
        <w:rPr>
          <w:spacing w:val="-6"/>
        </w:rPr>
        <w:t>集成电路设计企业购买、租赁 </w:t>
      </w:r>
      <w:r>
        <w:rPr>
          <w:rFonts w:ascii="Times New Roman" w:eastAsia="Times New Roman"/>
        </w:rPr>
        <w:t>EDA</w:t>
      </w:r>
      <w:r>
        <w:rPr>
          <w:rFonts w:ascii="Times New Roman" w:eastAsia="Times New Roman"/>
          <w:spacing w:val="-6"/>
        </w:rPr>
        <w:t> </w:t>
      </w:r>
      <w:r>
        <w:rPr/>
        <w:t>工具在海珠区开</w:t>
      </w:r>
      <w:r>
        <w:rPr>
          <w:spacing w:val="1"/>
        </w:rPr>
        <w:t>展集成电路研发设计，按照不超过实际购买、租赁费用的 </w:t>
      </w:r>
      <w:r>
        <w:rPr>
          <w:rFonts w:ascii="Times New Roman" w:eastAsia="Times New Roman"/>
          <w:spacing w:val="-5"/>
        </w:rPr>
        <w:t>50%</w:t>
      </w:r>
    </w:p>
    <w:p>
      <w:pPr>
        <w:pStyle w:val="BodyText"/>
        <w:spacing w:before="6"/>
      </w:pPr>
      <w:r>
        <w:rPr>
          <w:spacing w:val="-8"/>
        </w:rPr>
        <w:t>给予补助，单个企业每年最高 </w:t>
      </w:r>
      <w:r>
        <w:rPr>
          <w:rFonts w:ascii="Times New Roman" w:eastAsia="Times New Roman"/>
          <w:spacing w:val="-2"/>
        </w:rPr>
        <w:t>300</w:t>
      </w:r>
      <w:r>
        <w:rPr>
          <w:rFonts w:ascii="Times New Roman" w:eastAsia="Times New Roman"/>
          <w:spacing w:val="-7"/>
        </w:rPr>
        <w:t> </w:t>
      </w:r>
      <w:r>
        <w:rPr>
          <w:spacing w:val="-5"/>
        </w:rPr>
        <w:t>万元。</w:t>
      </w:r>
    </w:p>
    <w:p>
      <w:pPr>
        <w:pStyle w:val="BodyText"/>
        <w:spacing w:line="328" w:lineRule="auto" w:before="149"/>
        <w:ind w:right="39" w:firstLine="640"/>
      </w:pPr>
      <w:r>
        <w:rPr>
          <w:spacing w:val="-2"/>
        </w:rPr>
        <w:t>（二）对开展新型智能计算芯片、新型存储器、开源处理器</w:t>
      </w:r>
      <w:r>
        <w:rPr>
          <w:spacing w:val="-7"/>
        </w:rPr>
        <w:t>等前沿领域研发阶段工程流片</w:t>
      </w:r>
      <w:r>
        <w:rPr>
          <w:spacing w:val="-2"/>
        </w:rPr>
        <w:t>（全掩膜</w:t>
      </w:r>
      <w:r>
        <w:rPr>
          <w:spacing w:val="-58"/>
        </w:rPr>
        <w:t>）</w:t>
      </w:r>
      <w:r>
        <w:rPr>
          <w:spacing w:val="-2"/>
        </w:rPr>
        <w:t>的集成电路设计企业按</w:t>
      </w:r>
      <w:r>
        <w:rPr>
          <w:spacing w:val="-9"/>
        </w:rPr>
        <w:t>不超过流片费用的 </w:t>
      </w:r>
      <w:r>
        <w:rPr>
          <w:rFonts w:ascii="Times New Roman" w:eastAsia="Times New Roman"/>
        </w:rPr>
        <w:t>60%</w:t>
      </w:r>
      <w:r>
        <w:rPr>
          <w:spacing w:val="-19"/>
        </w:rPr>
        <w:t>给予补助，单个企业每年最高 </w:t>
      </w:r>
      <w:r>
        <w:rPr>
          <w:rFonts w:ascii="Times New Roman" w:eastAsia="Times New Roman"/>
        </w:rPr>
        <w:t>1200</w:t>
      </w:r>
      <w:r>
        <w:rPr>
          <w:rFonts w:ascii="Times New Roman" w:eastAsia="Times New Roman"/>
          <w:spacing w:val="-20"/>
        </w:rPr>
        <w:t> </w:t>
      </w:r>
      <w:r>
        <w:rPr/>
        <w:t>万元；</w:t>
      </w:r>
      <w:r>
        <w:rPr>
          <w:spacing w:val="-2"/>
        </w:rPr>
        <w:t>对研发阶段开展多项目晶圆（</w:t>
      </w:r>
      <w:r>
        <w:rPr>
          <w:rFonts w:ascii="Times New Roman" w:eastAsia="Times New Roman"/>
          <w:spacing w:val="-2"/>
        </w:rPr>
        <w:t>MPW</w:t>
      </w:r>
      <w:r>
        <w:rPr>
          <w:spacing w:val="-2"/>
        </w:rPr>
        <w:t>）流片或其他全掩膜工程流</w:t>
      </w:r>
      <w:r>
        <w:rPr>
          <w:spacing w:val="-4"/>
        </w:rPr>
        <w:t>片的集成电路设计企业，按照不超过流片费用的 </w:t>
      </w:r>
      <w:r>
        <w:rPr>
          <w:rFonts w:ascii="Times New Roman" w:eastAsia="Times New Roman"/>
        </w:rPr>
        <w:t>60%</w:t>
      </w:r>
      <w:r>
        <w:rPr/>
        <w:t>给予补助，</w:t>
      </w:r>
      <w:r>
        <w:rPr>
          <w:spacing w:val="-3"/>
        </w:rPr>
        <w:t>单个企业每年最高 </w:t>
      </w:r>
      <w:r>
        <w:rPr>
          <w:rFonts w:ascii="Times New Roman" w:eastAsia="Times New Roman"/>
        </w:rPr>
        <w:t>800 </w:t>
      </w:r>
      <w:r>
        <w:rPr/>
        <w:t>万元。</w:t>
      </w:r>
    </w:p>
    <w:p>
      <w:pPr>
        <w:pStyle w:val="Heading2"/>
      </w:pPr>
      <w:r>
        <w:rPr>
          <w:spacing w:val="2"/>
        </w:rPr>
        <w:t>第八条 【团队和人才补贴】</w:t>
      </w:r>
    </w:p>
    <w:p>
      <w:pPr>
        <w:pStyle w:val="BodyText"/>
        <w:spacing w:line="328" w:lineRule="auto" w:before="76"/>
        <w:ind w:right="195" w:firstLine="640"/>
        <w:jc w:val="both"/>
      </w:pPr>
      <w:r>
        <w:rPr>
          <w:spacing w:val="-6"/>
        </w:rPr>
        <w:t>编印《广州琶洲人工智能人才目录》（简称《目录》）。广州市和海珠区根据广州市相关政策文件，分别对纳入《目录》且</w:t>
      </w:r>
      <w:r>
        <w:rPr>
          <w:spacing w:val="-2"/>
        </w:rPr>
        <w:t>符合条件的企业创新团队和关键人才予以支持。</w:t>
      </w:r>
    </w:p>
    <w:p>
      <w:pPr>
        <w:pStyle w:val="BodyText"/>
        <w:spacing w:line="328" w:lineRule="auto"/>
        <w:ind w:right="198" w:firstLine="640"/>
        <w:jc w:val="both"/>
      </w:pPr>
      <w:r>
        <w:rPr>
          <w:spacing w:val="-4"/>
        </w:rPr>
        <w:t>（一）依托</w:t>
      </w:r>
      <w:r>
        <w:rPr>
          <w:rFonts w:ascii="Times New Roman" w:hAnsi="Times New Roman" w:eastAsia="Times New Roman"/>
          <w:spacing w:val="-4"/>
        </w:rPr>
        <w:t>“</w:t>
      </w:r>
      <w:r>
        <w:rPr>
          <w:spacing w:val="-4"/>
        </w:rPr>
        <w:t>广聚英才</w:t>
      </w:r>
      <w:r>
        <w:rPr>
          <w:rFonts w:ascii="Times New Roman" w:hAnsi="Times New Roman" w:eastAsia="Times New Roman"/>
          <w:spacing w:val="-4"/>
        </w:rPr>
        <w:t>”</w:t>
      </w:r>
      <w:r>
        <w:rPr>
          <w:spacing w:val="-4"/>
        </w:rPr>
        <w:t>人才工程，支持企业引进符合申报条</w:t>
      </w:r>
      <w:r>
        <w:rPr>
          <w:spacing w:val="-2"/>
        </w:rPr>
        <w:t>件的人工智能高端团队。所需奖励金额纳入市科技部门预算安排，每年支持金额最高 </w:t>
      </w:r>
      <w:r>
        <w:rPr>
          <w:rFonts w:ascii="Times New Roman" w:hAnsi="Times New Roman" w:eastAsia="Times New Roman"/>
        </w:rPr>
        <w:t>1500 </w:t>
      </w:r>
      <w:r>
        <w:rPr/>
        <w:t>万元。</w:t>
      </w:r>
    </w:p>
    <w:p>
      <w:pPr>
        <w:pStyle w:val="BodyText"/>
        <w:spacing w:line="328" w:lineRule="auto"/>
        <w:ind w:right="39" w:firstLine="640"/>
        <w:jc w:val="both"/>
      </w:pPr>
      <w:r>
        <w:rPr>
          <w:spacing w:val="-2"/>
        </w:rPr>
        <w:t>（二</w:t>
      </w:r>
      <w:r>
        <w:rPr>
          <w:spacing w:val="-91"/>
        </w:rPr>
        <w:t>）</w:t>
      </w:r>
      <w:r>
        <w:rPr>
          <w:spacing w:val="-16"/>
        </w:rPr>
        <w:t>经企业申报、综合评审，对创新团队和人才给予支持，</w:t>
      </w:r>
      <w:r>
        <w:rPr>
          <w:spacing w:val="-3"/>
        </w:rPr>
        <w:t>每家企业最高 </w:t>
      </w:r>
      <w:r>
        <w:rPr>
          <w:rFonts w:ascii="Times New Roman" w:eastAsia="Times New Roman"/>
        </w:rPr>
        <w:t>200 </w:t>
      </w:r>
      <w:r>
        <w:rPr>
          <w:spacing w:val="-11"/>
        </w:rPr>
        <w:t>万元。所需奖励金额由海珠区财政支持，每年</w:t>
      </w:r>
    </w:p>
    <w:p>
      <w:pPr>
        <w:pStyle w:val="BodyText"/>
        <w:spacing w:after="0" w:line="328" w:lineRule="auto"/>
        <w:jc w:val="both"/>
        <w:sectPr>
          <w:pgSz w:w="11910" w:h="16840"/>
          <w:pgMar w:header="0" w:footer="1190" w:top="1920" w:bottom="1380" w:left="1417" w:right="1275"/>
        </w:sectPr>
      </w:pPr>
    </w:p>
    <w:p>
      <w:pPr>
        <w:pStyle w:val="BodyText"/>
        <w:spacing w:before="289"/>
      </w:pPr>
      <w:r>
        <w:rPr>
          <w:spacing w:val="-14"/>
        </w:rPr>
        <w:t>支持金额最高 </w:t>
      </w:r>
      <w:r>
        <w:rPr>
          <w:rFonts w:ascii="Times New Roman" w:eastAsia="Times New Roman"/>
          <w:spacing w:val="-2"/>
        </w:rPr>
        <w:t>1500 </w:t>
      </w:r>
      <w:r>
        <w:rPr>
          <w:spacing w:val="-5"/>
        </w:rPr>
        <w:t>万元。</w:t>
      </w:r>
    </w:p>
    <w:p>
      <w:pPr>
        <w:pStyle w:val="BodyText"/>
        <w:spacing w:line="271" w:lineRule="auto" w:before="44"/>
        <w:ind w:right="83" w:firstLine="640"/>
      </w:pPr>
      <w:r>
        <w:rPr>
          <w:rFonts w:ascii="Microsoft JhengHei" w:hAnsi="Microsoft JhengHei" w:eastAsia="Microsoft JhengHei"/>
          <w:b/>
          <w:spacing w:val="10"/>
        </w:rPr>
        <w:t>第九条 </w:t>
      </w:r>
      <w:r>
        <w:rPr/>
        <w:t>本细则所指</w:t>
      </w:r>
      <w:r>
        <w:rPr>
          <w:rFonts w:ascii="Times New Roman" w:hAnsi="Times New Roman" w:eastAsia="Times New Roman"/>
        </w:rPr>
        <w:t>“</w:t>
      </w:r>
      <w:r>
        <w:rPr/>
        <w:t>示范区</w:t>
      </w:r>
      <w:r>
        <w:rPr>
          <w:rFonts w:ascii="Times New Roman" w:hAnsi="Times New Roman" w:eastAsia="Times New Roman"/>
        </w:rPr>
        <w:t>”</w:t>
      </w:r>
      <w:r>
        <w:rPr/>
        <w:t>地理范围为：西起广州大道连</w:t>
      </w:r>
      <w:r>
        <w:rPr>
          <w:spacing w:val="-2"/>
        </w:rPr>
        <w:t>东晓南路，东临珠江航道，北至珠江前航道，南至珠江后航道。</w:t>
      </w:r>
    </w:p>
    <w:p>
      <w:pPr>
        <w:pStyle w:val="BodyText"/>
        <w:spacing w:before="120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1179529</wp:posOffset>
            </wp:positionH>
            <wp:positionV relativeFrom="paragraph">
              <wp:posOffset>254232</wp:posOffset>
            </wp:positionV>
            <wp:extent cx="5241131" cy="3694176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131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1" w:lineRule="auto" w:before="326"/>
        <w:ind w:right="198" w:firstLine="640"/>
      </w:pPr>
      <w:r>
        <w:rPr>
          <w:rFonts w:ascii="Microsoft JhengHei" w:hAnsi="Microsoft JhengHei" w:eastAsia="Microsoft JhengHei"/>
          <w:b/>
          <w:spacing w:val="10"/>
        </w:rPr>
        <w:t>第十条 </w:t>
      </w:r>
      <w:r>
        <w:rPr/>
        <w:t>本细则所指</w:t>
      </w:r>
      <w:r>
        <w:rPr>
          <w:rFonts w:ascii="Times New Roman" w:hAnsi="Times New Roman" w:eastAsia="Times New Roman"/>
        </w:rPr>
        <w:t>“</w:t>
      </w:r>
      <w:r>
        <w:rPr/>
        <w:t>大模型企业</w:t>
      </w:r>
      <w:r>
        <w:rPr>
          <w:rFonts w:ascii="Times New Roman" w:hAnsi="Times New Roman" w:eastAsia="Times New Roman"/>
        </w:rPr>
        <w:t>”</w:t>
      </w:r>
      <w:r>
        <w:rPr/>
        <w:t>，应为与人工智能、大模</w:t>
      </w:r>
      <w:r>
        <w:rPr>
          <w:spacing w:val="-2"/>
        </w:rPr>
        <w:t>型产业发展相关的技术、产品、服务企业。</w:t>
      </w:r>
    </w:p>
    <w:p>
      <w:pPr>
        <w:pStyle w:val="BodyText"/>
        <w:spacing w:line="328" w:lineRule="auto" w:before="96"/>
        <w:ind w:right="39" w:firstLine="640"/>
      </w:pPr>
      <w:r>
        <w:rPr>
          <w:spacing w:val="-2"/>
        </w:rPr>
        <w:t>本细则所指</w:t>
      </w:r>
      <w:r>
        <w:rPr>
          <w:rFonts w:ascii="Times New Roman" w:hAnsi="Times New Roman" w:eastAsia="Times New Roman"/>
          <w:spacing w:val="-2"/>
        </w:rPr>
        <w:t>“</w:t>
      </w:r>
      <w:r>
        <w:rPr>
          <w:spacing w:val="-2"/>
        </w:rPr>
        <w:t>集成电路设计企业</w:t>
      </w:r>
      <w:r>
        <w:rPr>
          <w:rFonts w:ascii="Times New Roman" w:hAnsi="Times New Roman" w:eastAsia="Times New Roman"/>
          <w:spacing w:val="-2"/>
        </w:rPr>
        <w:t>”</w:t>
      </w:r>
      <w:r>
        <w:rPr>
          <w:spacing w:val="-2"/>
        </w:rPr>
        <w:t>，主营业务应为集成电路设</w:t>
      </w:r>
      <w:r>
        <w:rPr>
          <w:spacing w:val="-10"/>
        </w:rPr>
        <w:t>计、电子设计自动化（</w:t>
      </w:r>
      <w:r>
        <w:rPr>
          <w:rFonts w:ascii="Times New Roman" w:hAnsi="Times New Roman" w:eastAsia="Times New Roman"/>
          <w:spacing w:val="-10"/>
        </w:rPr>
        <w:t>EDA</w:t>
      </w:r>
      <w:r>
        <w:rPr>
          <w:spacing w:val="-10"/>
        </w:rPr>
        <w:t>）工具开发、知识产权（</w:t>
      </w:r>
      <w:r>
        <w:rPr>
          <w:rFonts w:ascii="Times New Roman" w:hAnsi="Times New Roman" w:eastAsia="Times New Roman"/>
          <w:spacing w:val="-10"/>
        </w:rPr>
        <w:t>IP</w:t>
      </w:r>
      <w:r>
        <w:rPr>
          <w:spacing w:val="-10"/>
        </w:rPr>
        <w:t>）核设计。</w:t>
      </w:r>
    </w:p>
    <w:p>
      <w:pPr>
        <w:pStyle w:val="BodyText"/>
        <w:spacing w:line="480" w:lineRule="exact"/>
        <w:ind w:left="810"/>
      </w:pPr>
      <w:r>
        <w:rPr>
          <w:rFonts w:ascii="Microsoft JhengHei" w:eastAsia="Microsoft JhengHei"/>
          <w:b/>
          <w:spacing w:val="12"/>
        </w:rPr>
        <w:t>第十一条 </w:t>
      </w:r>
      <w:r>
        <w:rPr>
          <w:spacing w:val="-1"/>
        </w:rPr>
        <w:t>根据广州市相关政策文件，本细则所奖励金额由</w:t>
      </w:r>
    </w:p>
    <w:p>
      <w:pPr>
        <w:pStyle w:val="BodyText"/>
        <w:spacing w:before="76"/>
      </w:pPr>
      <w:r>
        <w:rPr>
          <w:spacing w:val="-12"/>
        </w:rPr>
        <w:t>广州市和海珠区按照 </w:t>
      </w:r>
      <w:r>
        <w:rPr>
          <w:rFonts w:ascii="Times New Roman" w:eastAsia="Times New Roman"/>
          <w:spacing w:val="-4"/>
        </w:rPr>
        <w:t>1:1</w:t>
      </w:r>
      <w:r>
        <w:rPr>
          <w:rFonts w:ascii="Times New Roman" w:eastAsia="Times New Roman"/>
          <w:spacing w:val="-1"/>
        </w:rPr>
        <w:t> </w:t>
      </w:r>
      <w:r>
        <w:rPr>
          <w:spacing w:val="-5"/>
        </w:rPr>
        <w:t>比例共同承担，每年市区累计奖励总额</w:t>
      </w:r>
    </w:p>
    <w:p>
      <w:pPr>
        <w:pStyle w:val="BodyText"/>
        <w:spacing w:before="152"/>
      </w:pPr>
      <w:r>
        <w:rPr>
          <w:spacing w:val="-22"/>
        </w:rPr>
        <w:t>不超过 </w:t>
      </w:r>
      <w:r>
        <w:rPr>
          <w:rFonts w:ascii="Times New Roman" w:eastAsia="Times New Roman"/>
          <w:spacing w:val="-4"/>
        </w:rPr>
        <w:t>2.8</w:t>
      </w:r>
      <w:r>
        <w:rPr>
          <w:rFonts w:ascii="Times New Roman" w:eastAsia="Times New Roman"/>
          <w:spacing w:val="5"/>
        </w:rPr>
        <w:t> </w:t>
      </w:r>
      <w:r>
        <w:rPr>
          <w:spacing w:val="-4"/>
        </w:rPr>
        <w:t>亿元（不包含第八条）</w:t>
      </w:r>
      <w:r>
        <w:rPr>
          <w:spacing w:val="-5"/>
        </w:rPr>
        <w:t>。其中单个大模型企业每年累</w:t>
      </w:r>
    </w:p>
    <w:p>
      <w:pPr>
        <w:pStyle w:val="BodyText"/>
        <w:spacing w:before="149"/>
      </w:pPr>
      <w:r>
        <w:rPr>
          <w:spacing w:val="-10"/>
        </w:rPr>
        <w:t>计奖励金额最高 </w:t>
      </w:r>
      <w:r>
        <w:rPr>
          <w:rFonts w:ascii="Times New Roman" w:eastAsia="Times New Roman"/>
          <w:spacing w:val="-2"/>
        </w:rPr>
        <w:t>1000</w:t>
      </w:r>
      <w:r>
        <w:rPr>
          <w:rFonts w:ascii="Times New Roman" w:eastAsia="Times New Roman"/>
          <w:spacing w:val="13"/>
        </w:rPr>
        <w:t> </w:t>
      </w:r>
      <w:r>
        <w:rPr>
          <w:spacing w:val="-3"/>
        </w:rPr>
        <w:t>万元，单个集成电路设计企业每年累计奖</w:t>
      </w:r>
    </w:p>
    <w:p>
      <w:pPr>
        <w:pStyle w:val="BodyText"/>
        <w:spacing w:after="0"/>
        <w:sectPr>
          <w:pgSz w:w="11910" w:h="16840"/>
          <w:pgMar w:header="0" w:footer="1190" w:top="1920" w:bottom="1380" w:left="1417" w:right="1275"/>
        </w:sectPr>
      </w:pPr>
    </w:p>
    <w:p>
      <w:pPr>
        <w:pStyle w:val="BodyText"/>
        <w:spacing w:before="289"/>
      </w:pPr>
      <w:r>
        <w:rPr>
          <w:spacing w:val="-15"/>
        </w:rPr>
        <w:t>励金额最高 </w:t>
      </w:r>
      <w:r>
        <w:rPr>
          <w:rFonts w:ascii="Times New Roman" w:eastAsia="Times New Roman"/>
          <w:spacing w:val="-2"/>
        </w:rPr>
        <w:t>5000</w:t>
      </w:r>
      <w:r>
        <w:rPr>
          <w:rFonts w:ascii="Times New Roman" w:eastAsia="Times New Roman"/>
          <w:spacing w:val="-3"/>
        </w:rPr>
        <w:t> </w:t>
      </w:r>
      <w:r>
        <w:rPr>
          <w:spacing w:val="-5"/>
        </w:rPr>
        <w:t>万元。</w:t>
      </w:r>
    </w:p>
    <w:p>
      <w:pPr>
        <w:pStyle w:val="BodyText"/>
        <w:spacing w:line="271" w:lineRule="auto" w:before="44"/>
        <w:ind w:right="35" w:firstLine="640"/>
      </w:pPr>
      <w:r>
        <w:rPr>
          <w:rFonts w:ascii="Microsoft JhengHei" w:hAnsi="Microsoft JhengHei" w:eastAsia="Microsoft JhengHei"/>
          <w:b/>
          <w:spacing w:val="3"/>
        </w:rPr>
        <w:t>第十二条 </w:t>
      </w:r>
      <w:r>
        <w:rPr>
          <w:spacing w:val="-2"/>
        </w:rPr>
        <w:t>本细则所指</w:t>
      </w:r>
      <w:r>
        <w:rPr>
          <w:rFonts w:ascii="Times New Roman" w:hAnsi="Times New Roman" w:eastAsia="Times New Roman"/>
          <w:spacing w:val="-2"/>
        </w:rPr>
        <w:t>“</w:t>
      </w:r>
      <w:r>
        <w:rPr>
          <w:spacing w:val="-2"/>
        </w:rPr>
        <w:t>新增</w:t>
      </w:r>
      <w:r>
        <w:rPr>
          <w:rFonts w:ascii="Times New Roman" w:hAnsi="Times New Roman" w:eastAsia="Times New Roman"/>
          <w:spacing w:val="-2"/>
        </w:rPr>
        <w:t>”</w:t>
      </w:r>
      <w:r>
        <w:rPr>
          <w:spacing w:val="-2"/>
        </w:rPr>
        <w:t>，指新注册或从广州市外迁入。本细则所指</w:t>
      </w:r>
      <w:r>
        <w:rPr>
          <w:rFonts w:ascii="Times New Roman" w:hAnsi="Times New Roman" w:eastAsia="Times New Roman"/>
          <w:spacing w:val="-2"/>
        </w:rPr>
        <w:t>“</w:t>
      </w:r>
      <w:r>
        <w:rPr>
          <w:spacing w:val="-2"/>
        </w:rPr>
        <w:t>以上</w:t>
      </w:r>
      <w:r>
        <w:rPr>
          <w:rFonts w:ascii="Times New Roman" w:hAnsi="Times New Roman" w:eastAsia="Times New Roman"/>
          <w:spacing w:val="-2"/>
        </w:rPr>
        <w:t>”</w:t>
      </w:r>
      <w:r>
        <w:rPr>
          <w:spacing w:val="-2"/>
        </w:rPr>
        <w:t>均包含本数。</w:t>
      </w:r>
    </w:p>
    <w:p>
      <w:pPr>
        <w:pStyle w:val="BodyText"/>
        <w:spacing w:line="271" w:lineRule="auto"/>
        <w:ind w:right="196" w:firstLine="640"/>
      </w:pPr>
      <w:r>
        <w:rPr>
          <w:rFonts w:ascii="Microsoft JhengHei" w:eastAsia="Microsoft JhengHei"/>
          <w:b/>
          <w:spacing w:val="8"/>
        </w:rPr>
        <w:t>第十三条 </w:t>
      </w:r>
      <w:r>
        <w:rPr/>
        <w:t>申报企业在同一年度享受到广州市或海珠区相同</w:t>
      </w:r>
      <w:r>
        <w:rPr>
          <w:spacing w:val="-9"/>
        </w:rPr>
        <w:t>类目扶持的，按不重复原则奖励。对重点引进的招商项目，可按</w:t>
      </w:r>
    </w:p>
    <w:p>
      <w:pPr>
        <w:pStyle w:val="BodyText"/>
        <w:spacing w:before="88"/>
      </w:pPr>
      <w:r>
        <w:rPr>
          <w:spacing w:val="-5"/>
        </w:rPr>
        <w:t>规定报市政府审定后给予支持。</w:t>
      </w:r>
    </w:p>
    <w:p>
      <w:pPr>
        <w:pStyle w:val="BodyText"/>
        <w:spacing w:line="560" w:lineRule="exact" w:before="24"/>
        <w:ind w:right="39" w:firstLine="640"/>
        <w:jc w:val="both"/>
      </w:pPr>
      <w:r>
        <w:rPr>
          <w:rFonts w:ascii="Microsoft JhengHei" w:eastAsia="Microsoft JhengHei"/>
          <w:b/>
        </w:rPr>
        <w:t>第十四条 </w:t>
      </w:r>
      <w:r>
        <w:rPr>
          <w:spacing w:val="-11"/>
        </w:rPr>
        <w:t>海珠区承担主体责任，依照本细则开展项目征集、</w:t>
      </w:r>
      <w:r>
        <w:rPr>
          <w:spacing w:val="-2"/>
        </w:rPr>
        <w:t>项目评审、使用监督、绩效管理等。根据广州市相关政策文件，</w:t>
      </w:r>
      <w:r>
        <w:rPr>
          <w:spacing w:val="-8"/>
        </w:rPr>
        <w:t>由市级相关部门负责市配套资金支持工作。本细则由广州琶洲人</w:t>
      </w:r>
    </w:p>
    <w:p>
      <w:pPr>
        <w:pStyle w:val="BodyText"/>
        <w:spacing w:line="326" w:lineRule="auto" w:before="128"/>
        <w:ind w:right="39"/>
      </w:pPr>
      <w:r>
        <w:rPr>
          <w:spacing w:val="-2"/>
        </w:rPr>
        <w:t>工智能与数字经济试验区管理委员会（简称</w:t>
      </w:r>
      <w:r>
        <w:rPr>
          <w:rFonts w:ascii="Times New Roman" w:hAnsi="Times New Roman" w:eastAsia="Times New Roman"/>
          <w:spacing w:val="-2"/>
        </w:rPr>
        <w:t>“</w:t>
      </w:r>
      <w:r>
        <w:rPr>
          <w:spacing w:val="-2"/>
        </w:rPr>
        <w:t>琶洲管委会</w:t>
      </w:r>
      <w:r>
        <w:rPr>
          <w:rFonts w:ascii="Times New Roman" w:hAnsi="Times New Roman" w:eastAsia="Times New Roman"/>
          <w:spacing w:val="-2"/>
        </w:rPr>
        <w:t>”</w:t>
      </w:r>
      <w:r>
        <w:rPr>
          <w:spacing w:val="-2"/>
        </w:rPr>
        <w:t>）、海</w:t>
      </w:r>
      <w:r>
        <w:rPr>
          <w:spacing w:val="-11"/>
        </w:rPr>
        <w:t>珠区科技工业商务和信息化局</w:t>
      </w:r>
      <w:r>
        <w:rPr>
          <w:spacing w:val="-2"/>
        </w:rPr>
        <w:t>（简称</w:t>
      </w:r>
      <w:r>
        <w:rPr>
          <w:rFonts w:ascii="Times New Roman" w:hAnsi="Times New Roman" w:eastAsia="Times New Roman"/>
          <w:spacing w:val="-2"/>
        </w:rPr>
        <w:t>“</w:t>
      </w:r>
      <w:r>
        <w:rPr>
          <w:spacing w:val="-2"/>
        </w:rPr>
        <w:t>区科工商信局</w:t>
      </w:r>
      <w:r>
        <w:rPr>
          <w:rFonts w:ascii="Times New Roman" w:hAnsi="Times New Roman" w:eastAsia="Times New Roman"/>
        </w:rPr>
        <w:t>”</w:t>
      </w:r>
      <w:r>
        <w:rPr>
          <w:spacing w:val="-118"/>
        </w:rPr>
        <w:t>）</w:t>
      </w:r>
      <w:r>
        <w:rPr>
          <w:spacing w:val="-2"/>
        </w:rPr>
        <w:t>共同解释。</w:t>
      </w:r>
    </w:p>
    <w:p>
      <w:pPr>
        <w:pStyle w:val="BodyText"/>
        <w:spacing w:line="486" w:lineRule="exact"/>
        <w:ind w:left="810"/>
        <w:rPr>
          <w:rFonts w:ascii="Times New Roman" w:eastAsia="Times New Roman"/>
        </w:rPr>
      </w:pPr>
      <w:r>
        <w:rPr>
          <w:rFonts w:ascii="Microsoft JhengHei" w:eastAsia="Microsoft JhengHei"/>
          <w:b/>
          <w:spacing w:val="17"/>
        </w:rPr>
        <w:t>第十五条 </w:t>
      </w:r>
      <w:r>
        <w:rPr>
          <w:spacing w:val="6"/>
        </w:rPr>
        <w:t>本细则自印发之日起施行，有效期至 </w:t>
      </w:r>
      <w:r>
        <w:rPr>
          <w:rFonts w:ascii="Times New Roman" w:eastAsia="Times New Roman"/>
        </w:rPr>
        <w:t>2027</w:t>
      </w:r>
      <w:r>
        <w:rPr>
          <w:rFonts w:ascii="Times New Roman" w:eastAsia="Times New Roman"/>
          <w:spacing w:val="-3"/>
        </w:rPr>
        <w:t> </w:t>
      </w:r>
      <w:r>
        <w:rPr>
          <w:spacing w:val="-34"/>
        </w:rPr>
        <w:t>年 </w:t>
      </w:r>
      <w:r>
        <w:rPr>
          <w:rFonts w:ascii="Times New Roman" w:eastAsia="Times New Roman"/>
          <w:spacing w:val="-10"/>
        </w:rPr>
        <w:t>3</w:t>
      </w:r>
    </w:p>
    <w:p>
      <w:pPr>
        <w:pStyle w:val="BodyText"/>
        <w:spacing w:line="326" w:lineRule="auto" w:before="78"/>
        <w:ind w:right="198"/>
      </w:pPr>
      <w:r>
        <w:rPr>
          <w:spacing w:val="-38"/>
        </w:rPr>
        <w:t>月 </w:t>
      </w:r>
      <w:r>
        <w:rPr>
          <w:rFonts w:ascii="Times New Roman" w:eastAsia="Times New Roman"/>
        </w:rPr>
        <w:t>20 </w:t>
      </w:r>
      <w:r>
        <w:rPr/>
        <w:t>日。在有效期内，琶洲管委会、区科工商信局可根据本细</w:t>
      </w:r>
      <w:r>
        <w:rPr>
          <w:spacing w:val="-2"/>
        </w:rPr>
        <w:t>则实际执行情况依法调整修订有关内容。</w:t>
      </w:r>
    </w:p>
    <w:p>
      <w:pPr>
        <w:pStyle w:val="BodyText"/>
        <w:spacing w:after="0" w:line="326" w:lineRule="auto"/>
        <w:sectPr>
          <w:pgSz w:w="11910" w:h="16840"/>
          <w:pgMar w:header="0" w:footer="1190" w:top="1920" w:bottom="1380" w:left="1417" w:right="1275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336"/>
        <w:ind w:left="0"/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1009650</wp:posOffset>
                </wp:positionH>
                <wp:positionV relativeFrom="paragraph">
                  <wp:posOffset>286067</wp:posOffset>
                </wp:positionV>
                <wp:extent cx="5705475" cy="9525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57054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5475" h="9525">
                              <a:moveTo>
                                <a:pt x="5705475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5705475" y="0"/>
                              </a:lnTo>
                              <a:lnTo>
                                <a:pt x="5705475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5pt;margin-top:22.525pt;width:449.25pt;height:.75pt;mso-position-horizontal-relative:page;mso-position-vertical-relative:paragraph;z-index:-15727616;mso-wrap-distance-left:0;mso-wrap-distance-right:0" id="docshape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pacing w:val="-5"/>
        </w:rPr>
        <w:t>公开方式：主动公开</w:t>
      </w:r>
    </w:p>
    <w:p>
      <w:pPr>
        <w:tabs>
          <w:tab w:pos="6709" w:val="left" w:leader="none"/>
        </w:tabs>
        <w:spacing w:before="98" w:after="53"/>
        <w:ind w:left="450" w:right="0" w:firstLine="0"/>
        <w:jc w:val="left"/>
        <w:rPr>
          <w:sz w:val="28"/>
        </w:rPr>
      </w:pPr>
      <w:r>
        <w:rPr>
          <w:spacing w:val="-42"/>
          <w:sz w:val="28"/>
        </w:rPr>
        <w:t>广州琶洲人工智能与数字经济试验区管理委员会综合科</w:t>
      </w:r>
      <w:r>
        <w:rPr>
          <w:sz w:val="28"/>
        </w:rPr>
        <w:tab/>
      </w:r>
      <w:r>
        <w:rPr>
          <w:rFonts w:ascii="Times New Roman" w:eastAsia="Times New Roman"/>
          <w:spacing w:val="-14"/>
          <w:sz w:val="28"/>
        </w:rPr>
        <w:t>2024</w:t>
      </w:r>
      <w:r>
        <w:rPr>
          <w:rFonts w:ascii="Times New Roman" w:eastAsia="Times New Roman"/>
          <w:spacing w:val="-34"/>
          <w:sz w:val="28"/>
        </w:rPr>
        <w:t> </w:t>
      </w:r>
      <w:r>
        <w:rPr>
          <w:spacing w:val="-14"/>
          <w:sz w:val="28"/>
        </w:rPr>
        <w:t>年</w:t>
      </w:r>
      <w:r>
        <w:rPr>
          <w:rFonts w:ascii="Times New Roman" w:eastAsia="Times New Roman"/>
          <w:spacing w:val="-14"/>
          <w:sz w:val="28"/>
        </w:rPr>
        <w:t>6</w:t>
      </w:r>
      <w:r>
        <w:rPr>
          <w:rFonts w:ascii="Times New Roman" w:eastAsia="Times New Roman"/>
          <w:spacing w:val="-34"/>
          <w:sz w:val="28"/>
        </w:rPr>
        <w:t> </w:t>
      </w:r>
      <w:r>
        <w:rPr>
          <w:spacing w:val="-14"/>
          <w:sz w:val="28"/>
        </w:rPr>
        <w:t>月</w:t>
      </w:r>
      <w:r>
        <w:rPr>
          <w:rFonts w:ascii="Times New Roman" w:eastAsia="Times New Roman"/>
          <w:spacing w:val="-14"/>
          <w:sz w:val="28"/>
        </w:rPr>
        <w:t>18</w:t>
      </w:r>
      <w:r>
        <w:rPr>
          <w:rFonts w:ascii="Times New Roman" w:eastAsia="Times New Roman"/>
          <w:spacing w:val="-33"/>
          <w:sz w:val="28"/>
        </w:rPr>
        <w:t> </w:t>
      </w:r>
      <w:r>
        <w:rPr>
          <w:spacing w:val="-14"/>
          <w:sz w:val="28"/>
        </w:rPr>
        <w:t>日印发</w:t>
      </w:r>
    </w:p>
    <w:p>
      <w:pPr>
        <w:pStyle w:val="BodyText"/>
        <w:spacing w:line="20" w:lineRule="exact"/>
        <w:ind w:left="184" w:right="-1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705475" cy="9525"/>
                <wp:effectExtent l="0" t="0" r="0" b="0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705475" cy="9525"/>
                          <a:chExt cx="5705475" cy="95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705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5475" h="9525">
                                <a:moveTo>
                                  <a:pt x="5705474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5705474" y="0"/>
                                </a:lnTo>
                                <a:lnTo>
                                  <a:pt x="570547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9.25pt;height:.75pt;mso-position-horizontal-relative:char;mso-position-vertical-relative:line" id="docshapegroup5" coordorigin="0,0" coordsize="8985,15">
                <v:rect style="position:absolute;left:0;top:0;width:8985;height:15" id="docshape6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sectPr>
      <w:pgSz w:w="11910" w:h="16840"/>
      <w:pgMar w:header="0" w:footer="1190" w:top="1920" w:bottom="1380" w:left="1417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Microsoft JhengHei">
    <w:altName w:val="Microsoft JhengHei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2096">
              <wp:simplePos x="0" y="0"/>
              <wp:positionH relativeFrom="page">
                <wp:posOffset>5988799</wp:posOffset>
              </wp:positionH>
              <wp:positionV relativeFrom="page">
                <wp:posOffset>9796981</wp:posOffset>
              </wp:positionV>
              <wp:extent cx="648970" cy="20383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64897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21" w:lineRule="exact" w:before="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—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1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71.55899pt;margin-top:771.415833pt;width:51.1pt;height:16.05pt;mso-position-horizontal-relative:page;mso-position-vertical-relative:page;z-index:-15824384" type="#_x0000_t202" id="docshape1" filled="false" stroked="false">
              <v:textbox inset="0,0,0,0">
                <w:txbxContent>
                  <w:p>
                    <w:pPr>
                      <w:spacing w:line="321" w:lineRule="exact" w:before="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—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sz w:val="28"/>
                      </w:rPr>
                      <w:t>1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z w:val="28"/>
                      </w:rPr>
                      <w:t> </w:t>
                    </w:r>
                    <w:r>
                      <w:rPr>
                        <w:spacing w:val="-10"/>
                        <w:sz w:val="28"/>
                      </w:rPr>
                      <w:t>—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2608">
              <wp:simplePos x="0" y="0"/>
              <wp:positionH relativeFrom="page">
                <wp:posOffset>994663</wp:posOffset>
              </wp:positionH>
              <wp:positionV relativeFrom="page">
                <wp:posOffset>9796981</wp:posOffset>
              </wp:positionV>
              <wp:extent cx="737235" cy="2038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3723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21" w:lineRule="exact" w:before="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—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10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sz w:val="2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8.320pt;margin-top:771.415833pt;width:58.05pt;height:16.05pt;mso-position-horizontal-relative:page;mso-position-vertical-relative:page;z-index:-15823872" type="#_x0000_t202" id="docshape2" filled="false" stroked="false">
              <v:textbox inset="0,0,0,0">
                <w:txbxContent>
                  <w:p>
                    <w:pPr>
                      <w:spacing w:line="321" w:lineRule="exact" w:before="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—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sz w:val="28"/>
                      </w:rPr>
                      <w:t>10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pacing w:val="-10"/>
                        <w:sz w:val="28"/>
                      </w:rPr>
                      <w:t>—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051" w:hanging="24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7"/>
        <w:sz w:val="30"/>
        <w:szCs w:val="30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75" w:hanging="24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690" w:hanging="24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506" w:hanging="24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321" w:hanging="24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137" w:hanging="24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952" w:hanging="24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767" w:hanging="24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583" w:hanging="242"/>
      </w:pPr>
      <w:rPr>
        <w:rFonts w:hint="default"/>
        <w:lang w:val="en-US" w:eastAsia="zh-CN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9" w:hanging="24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7"/>
        <w:sz w:val="30"/>
        <w:szCs w:val="30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065" w:hanging="24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970" w:hanging="24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876" w:hanging="24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781" w:hanging="24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687" w:hanging="24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592" w:hanging="24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497" w:hanging="24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403" w:hanging="242"/>
      </w:pPr>
      <w:rPr>
        <w:rFonts w:hint="default"/>
        <w:lang w:val="en-US" w:eastAsia="zh-CN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9" w:hanging="24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7"/>
        <w:sz w:val="30"/>
        <w:szCs w:val="30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065" w:hanging="24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970" w:hanging="24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876" w:hanging="24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781" w:hanging="24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687" w:hanging="24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592" w:hanging="24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497" w:hanging="24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403" w:hanging="242"/>
      </w:pPr>
      <w:rPr>
        <w:rFonts w:hint="default"/>
        <w:lang w:val="en-US" w:eastAsia="zh-CN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zh-CN" w:bidi="ar-SA"/>
    </w:rPr>
  </w:style>
  <w:style w:styleId="BodyText" w:type="paragraph">
    <w:name w:val="Body Text"/>
    <w:basedOn w:val="Normal"/>
    <w:uiPriority w:val="1"/>
    <w:qFormat/>
    <w:pPr>
      <w:ind w:left="169"/>
    </w:pPr>
    <w:rPr>
      <w:rFonts w:ascii="SimSun" w:hAnsi="SimSun" w:eastAsia="SimSun" w:cs="SimSun"/>
      <w:sz w:val="32"/>
      <w:szCs w:val="32"/>
      <w:lang w:val="en-US" w:eastAsia="zh-CN" w:bidi="ar-SA"/>
    </w:rPr>
  </w:style>
  <w:style w:styleId="Heading1" w:type="paragraph">
    <w:name w:val="Heading 1"/>
    <w:basedOn w:val="Normal"/>
    <w:uiPriority w:val="1"/>
    <w:qFormat/>
    <w:pPr>
      <w:ind w:left="19" w:right="46"/>
      <w:jc w:val="center"/>
      <w:outlineLvl w:val="1"/>
    </w:pPr>
    <w:rPr>
      <w:rFonts w:ascii="SimSun" w:hAnsi="SimSun" w:eastAsia="SimSun" w:cs="SimSun"/>
      <w:sz w:val="44"/>
      <w:szCs w:val="44"/>
      <w:lang w:val="en-US" w:eastAsia="zh-CN" w:bidi="ar-SA"/>
    </w:rPr>
  </w:style>
  <w:style w:styleId="Heading2" w:type="paragraph">
    <w:name w:val="Heading 2"/>
    <w:basedOn w:val="Normal"/>
    <w:uiPriority w:val="1"/>
    <w:qFormat/>
    <w:pPr>
      <w:spacing w:line="473" w:lineRule="exact"/>
      <w:ind w:left="810"/>
      <w:outlineLvl w:val="2"/>
    </w:pPr>
    <w:rPr>
      <w:rFonts w:ascii="Microsoft JhengHei" w:hAnsi="Microsoft JhengHei" w:eastAsia="Microsoft JhengHei" w:cs="Microsoft JhengHei"/>
      <w:b/>
      <w:bCs/>
      <w:sz w:val="32"/>
      <w:szCs w:val="32"/>
      <w:lang w:val="en-US" w:eastAsia="zh-CN" w:bidi="ar-SA"/>
    </w:rPr>
  </w:style>
  <w:style w:styleId="Title" w:type="paragraph">
    <w:name w:val="Title"/>
    <w:basedOn w:val="Normal"/>
    <w:uiPriority w:val="1"/>
    <w:qFormat/>
    <w:pPr>
      <w:ind w:left="123" w:right="61"/>
    </w:pPr>
    <w:rPr>
      <w:rFonts w:ascii="SimSun" w:hAnsi="SimSun" w:eastAsia="SimSun" w:cs="SimSun"/>
      <w:sz w:val="72"/>
      <w:szCs w:val="72"/>
      <w:lang w:val="en-US" w:eastAsia="zh-CN" w:bidi="ar-SA"/>
    </w:rPr>
  </w:style>
  <w:style w:styleId="ListParagraph" w:type="paragraph">
    <w:name w:val="List Paragraph"/>
    <w:basedOn w:val="Normal"/>
    <w:uiPriority w:val="1"/>
    <w:qFormat/>
    <w:pPr>
      <w:ind w:left="169" w:firstLine="640"/>
    </w:pPr>
    <w:rPr>
      <w:rFonts w:ascii="SimSun" w:hAnsi="SimSun" w:eastAsia="SimSun" w:cs="SimSun"/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鱼鱼鱼</dc:creator>
  <dc:description/>
  <dcterms:created xsi:type="dcterms:W3CDTF">2025-04-09T07:27:40Z</dcterms:created>
  <dcterms:modified xsi:type="dcterms:W3CDTF">2025-04-09T07:27:40Z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2025-04-09T00:00:00Z</vt:filetime>
  </property>
  <property fmtid="{D5CDD505-2E9C-101B-9397-08002B2CF9AE}" pid="5" name="SourceModified">
    <vt:lpwstr>D:20240618102631+02'26'</vt:lpwstr>
  </property>
</Properties>
</file>